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</w:p>
    <w:bookmarkEnd w:id="0"/>
    <w:p w14:paraId="0347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D52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（受理编号：D3HI202311280034)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临高县临城镇富力悦海湾小区，门口沙滩脏乱差，渔船漏油油污污染严重，每天涨潮入海口堆满垃圾，小区南门东侧边上有一片防风林都是白色垃圾和建筑垃圾。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E171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将该区域海岸垃圾和建筑垃圾清理干净，并形成常态化保洁和巡查机制。</w:t>
            </w:r>
          </w:p>
          <w:p w14:paraId="4692C4F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279A6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1.针对辖区海域特点，结合潮汐和垃圾量情况，做常态化和突击保洁作业工作。</w:t>
            </w:r>
          </w:p>
          <w:p w14:paraId="674375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2.对该区域的白色垃圾和建筑垃圾进行清理，并开展常态化巡查工作。</w:t>
            </w:r>
          </w:p>
          <w:p w14:paraId="7281D25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3.做好渔船管理和渔民的宣传教育引导工作，防止渔船油污染事件的发生。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7F6356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1.富力悦海湾小区、门口沙滩、小区南门东侧边上片防风林等区域基本做到垃圾日产日清，干净整洁。</w:t>
            </w:r>
          </w:p>
          <w:p w14:paraId="71171A8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2.规范该海域停泊渔船的管理工作，发布《关于加强渔船管理防止渔船漏油污染情况的通知》，做渔船管理和渔民的宣传教育引导工作，无渔船油污染事件的发生。</w:t>
            </w:r>
          </w:p>
        </w:tc>
      </w:tr>
    </w:tbl>
    <w:p w14:paraId="110B8CBF">
      <w:pPr>
        <w:kinsoku w:val="0"/>
        <w:autoSpaceDE w:val="0"/>
        <w:autoSpaceDN w:val="0"/>
        <w:adjustRightInd w:val="0"/>
        <w:snapToGrid w:val="0"/>
        <w:spacing w:before="91" w:line="215" w:lineRule="auto"/>
        <w:ind w:right="9"/>
        <w:jc w:val="both"/>
        <w:textAlignment w:val="baseline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</w:p>
    <w:p w14:paraId="23E79550"/>
    <w:sectPr>
      <w:footerReference r:id="rId3" w:type="default"/>
      <w:pgSz w:w="11906" w:h="16838"/>
      <w:pgMar w:top="400" w:right="1473" w:bottom="1159" w:left="1785" w:header="0" w:footer="8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B384">
    <w:pPr>
      <w:widowControl/>
      <w:kinsoku w:val="0"/>
      <w:autoSpaceDE w:val="0"/>
      <w:autoSpaceDN w:val="0"/>
      <w:adjustRightInd w:val="0"/>
      <w:snapToGrid w:val="0"/>
      <w:spacing w:line="218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605AC"/>
    <w:rsid w:val="41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2024-12-17T01:03:00Z</dcterms:created>
  <dc:creator>造梦先森</dc:creator>
  <cp:lastModifiedBy>造梦先森</cp:lastModifiedBy>
  <dcterms:modified xsi:type="dcterms:W3CDTF">2024-12-17T01:03:38Z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4D9D7140252D40C7B5F337DB491D42D1_11</vt:lpwstr>
  </property>
</Properties>
</file>