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临高县和舍镇</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rPr>
        <w:t>2023</w:t>
      </w:r>
      <w:r>
        <w:rPr>
          <w:rFonts w:hint="eastAsia" w:ascii="方正小标宋简体" w:hAnsi="方正小标宋简体" w:eastAsia="方正小标宋简体" w:cs="方正小标宋简体"/>
          <w:sz w:val="44"/>
          <w:szCs w:val="44"/>
          <w:lang w:eastAsia="zh-CN"/>
        </w:rPr>
        <w:t>政府信息公开工作年度报告</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bCs/>
          <w:color w:val="005997"/>
          <w:sz w:val="32"/>
          <w:szCs w:val="32"/>
          <w:lang w:eastAsia="zh-CN"/>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bCs/>
          <w:color w:val="005997"/>
          <w:sz w:val="32"/>
          <w:szCs w:val="32"/>
          <w:lang w:val="en-US"/>
        </w:rPr>
      </w:pPr>
      <w:r>
        <w:rPr>
          <w:rFonts w:hint="eastAsia" w:ascii="黑体" w:hAnsi="黑体" w:eastAsia="黑体" w:cs="黑体"/>
          <w:b/>
          <w:bCs/>
          <w:color w:val="005997"/>
          <w:sz w:val="32"/>
          <w:szCs w:val="32"/>
          <w:lang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根据《临高县人民政府办公室关于做好2023年度政府信息公开工作年度报告公开工作的通知》要求，现向社会公布和舍镇2023年政府信息公开工作年度报告，本报告中所列数据的统计期限自2023年1月1日起至2023年12月31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2023年，和舍镇紧紧围绕县委、县政府的决策部署，以“透明、公正、高效、守法、规范”为工作目标，认真做好本年度政府信息公开工作，本着实事求是、政务公开的原则，把政务公开与政府各项工作联系起来，认真履行公开职责，持续完善公开制度，扎实开展政务公开工作。2023年我镇以临高县人民政府门户网站作为政府信息公开的第一平台，同时利用好政务公开栏、和舍方向公众号等载体，建立完善的政府信息公开系统，确保公众及时知晓和获取有效的政府公开信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一是健全工作制度。我镇根据县委、县政府关于做好信息公开工作的相关要求，镇委书记陈慧和镇政府镇长罗明楷亲自部署，配备3名人员负责镇信息公开以及门户网站的管理工作，办公室设在镇党政办，负责在政府信息公开栏及时公布工作动态简报、预算结算等信息，并同步到政府网站，确保和舍政府信息公开工作有效落实。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二是增强信息公开。我镇及时关注镇的工作重点，及时更新政府信息公开内容，加强预算决算、村庄规划、报建审批、乡村振兴、医疗和社会救助以及工作动态等重点领域信息的主动公开工作，确保群众对我镇的工作信息知晓率。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三是严格监督指导。我镇持续加大对信息公开的数量、类别、内容、群众反馈等方面的自查力度，做到及时发现问题、解决问题，不断提高政府信息公开工作实效性；同时持续加强对信息公开工作人员的监督指导，按照“谁主管、谁负责”的原则，进一步细化信息公开工作，提高信息公开工作意识，压实责任，确保此项工作扎实推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截至2023年12月31日，和舍镇本年度主动公开信息100条，涉及村庄提升工程项目9条，医疗和社会救助7条、项目绩效公开3条、预算决算公开7条、干部分工报告1条、其他类73条；2023年度和舍镇人民政府无受理政府信息公开申请以及无因政府信息公开工作而被申请行政复议、提起行政诉讼的情况。 </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bCs/>
          <w:color w:val="005997"/>
          <w:sz w:val="32"/>
          <w:szCs w:val="32"/>
          <w:lang w:val="en-US" w:eastAsia="zh-CN"/>
        </w:rPr>
      </w:pPr>
      <w:r>
        <w:rPr>
          <w:rFonts w:hint="eastAsia" w:ascii="黑体" w:hAnsi="黑体" w:eastAsia="黑体" w:cs="黑体"/>
          <w:b/>
          <w:bCs/>
          <w:color w:val="005997"/>
          <w:sz w:val="32"/>
          <w:szCs w:val="32"/>
          <w:lang w:eastAsia="zh-CN"/>
        </w:rPr>
        <w:t>（二）主动公开政府信息的情况</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tbl>
      <w:tblPr>
        <w:tblStyle w:val="4"/>
        <w:tblW w:w="5000" w:type="pct"/>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1820"/>
        <w:gridCol w:w="2172"/>
        <w:gridCol w:w="2172"/>
        <w:gridCol w:w="21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108" w:type="dxa"/>
            <w:bottom w:w="0" w:type="dxa"/>
            <w:right w:w="108" w:type="dxa"/>
          </w:tblCellMar>
        </w:tblPrEx>
        <w:tc>
          <w:tcPr>
            <w:tcW w:w="0" w:type="auto"/>
            <w:gridSpan w:val="4"/>
            <w:tcBorders>
              <w:top w:val="outset" w:color="auto" w:sz="6" w:space="0"/>
              <w:left w:val="outset" w:color="auto" w:sz="6" w:space="0"/>
              <w:bottom w:val="outset" w:color="auto" w:sz="6" w:space="0"/>
              <w:right w:val="outset" w:color="auto" w:sz="6" w:space="0"/>
            </w:tcBorders>
            <w:shd w:val="clear" w:color="auto" w:fill="F2FB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信息内容</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本年制发件数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本年废止件数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现行有效件数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规章</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规范性文件</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bl>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tbl>
      <w:tblPr>
        <w:tblStyle w:val="4"/>
        <w:tblW w:w="5000" w:type="pct"/>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2816"/>
        <w:gridCol w:w="5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108" w:type="dxa"/>
            <w:bottom w:w="0" w:type="dxa"/>
            <w:right w:w="108" w:type="dxa"/>
          </w:tblCellMar>
        </w:tblPrEx>
        <w:tc>
          <w:tcPr>
            <w:tcW w:w="0" w:type="auto"/>
            <w:gridSpan w:val="2"/>
            <w:tcBorders>
              <w:top w:val="outset" w:color="auto" w:sz="6" w:space="0"/>
              <w:left w:val="outset" w:color="auto" w:sz="6" w:space="0"/>
              <w:bottom w:val="outset" w:color="auto" w:sz="6" w:space="0"/>
              <w:right w:val="outset" w:color="auto" w:sz="6" w:space="0"/>
            </w:tcBorders>
            <w:shd w:val="clear" w:color="auto" w:fill="F2FB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信息内容</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行政许可</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bl>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tbl>
      <w:tblPr>
        <w:tblStyle w:val="4"/>
        <w:tblW w:w="5000" w:type="pct"/>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2816"/>
        <w:gridCol w:w="5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108" w:type="dxa"/>
            <w:bottom w:w="0" w:type="dxa"/>
            <w:right w:w="108" w:type="dxa"/>
          </w:tblCellMar>
        </w:tblPrEx>
        <w:tc>
          <w:tcPr>
            <w:tcW w:w="0" w:type="auto"/>
            <w:gridSpan w:val="2"/>
            <w:tcBorders>
              <w:top w:val="outset" w:color="auto" w:sz="6" w:space="0"/>
              <w:left w:val="outset" w:color="auto" w:sz="6" w:space="0"/>
              <w:bottom w:val="outset" w:color="auto" w:sz="6" w:space="0"/>
              <w:right w:val="outset" w:color="auto" w:sz="6" w:space="0"/>
            </w:tcBorders>
            <w:shd w:val="clear" w:color="auto" w:fill="F2FB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信息内容</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行政处罚</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行政强制</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bl>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tbl>
      <w:tblPr>
        <w:tblStyle w:val="4"/>
        <w:tblW w:w="5000" w:type="pct"/>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2084"/>
        <w:gridCol w:w="62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108" w:type="dxa"/>
            <w:bottom w:w="0" w:type="dxa"/>
            <w:right w:w="108" w:type="dxa"/>
          </w:tblCellMar>
        </w:tblPrEx>
        <w:tc>
          <w:tcPr>
            <w:tcW w:w="0" w:type="auto"/>
            <w:gridSpan w:val="2"/>
            <w:tcBorders>
              <w:top w:val="outset" w:color="auto" w:sz="6" w:space="0"/>
              <w:left w:val="outset" w:color="auto" w:sz="6" w:space="0"/>
              <w:bottom w:val="outset" w:color="auto" w:sz="6" w:space="0"/>
              <w:right w:val="outset" w:color="auto" w:sz="6" w:space="0"/>
            </w:tcBorders>
            <w:shd w:val="clear" w:color="auto" w:fill="F2FB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1250" w:type="pct"/>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信息内容</w:t>
            </w:r>
          </w:p>
        </w:tc>
        <w:tc>
          <w:tcPr>
            <w:tcW w:w="3750" w:type="pct"/>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本年收费金额（单位:万元）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行业事业性收费</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50.81</w:t>
            </w:r>
          </w:p>
        </w:tc>
      </w:tr>
    </w:tbl>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bCs/>
          <w:color w:val="005997"/>
          <w:sz w:val="32"/>
          <w:szCs w:val="32"/>
          <w:lang w:val="en-US" w:eastAsia="zh-CN"/>
        </w:rPr>
      </w:pPr>
      <w:r>
        <w:rPr>
          <w:rFonts w:hint="eastAsia" w:ascii="黑体" w:hAnsi="黑体" w:eastAsia="黑体" w:cs="黑体"/>
          <w:b/>
          <w:bCs/>
          <w:color w:val="005997"/>
          <w:sz w:val="32"/>
          <w:szCs w:val="32"/>
          <w:lang w:eastAsia="zh-CN"/>
        </w:rPr>
        <w:t>（三）收到和处理政府信息公开申请情况</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tbl>
      <w:tblPr>
        <w:tblStyle w:val="4"/>
        <w:tblW w:w="5000" w:type="pct"/>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803"/>
        <w:gridCol w:w="573"/>
        <w:gridCol w:w="1549"/>
        <w:gridCol w:w="609"/>
        <w:gridCol w:w="799"/>
        <w:gridCol w:w="801"/>
        <w:gridCol w:w="1184"/>
        <w:gridCol w:w="1186"/>
        <w:gridCol w:w="416"/>
        <w:gridCol w:w="4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108" w:type="dxa"/>
            <w:bottom w:w="0" w:type="dxa"/>
            <w:right w:w="108" w:type="dxa"/>
          </w:tblCellMar>
        </w:tblPrEx>
        <w:tc>
          <w:tcPr>
            <w:tcW w:w="1750" w:type="pct"/>
            <w:gridSpan w:val="3"/>
            <w:vMerge w:val="restart"/>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（本列数据的勾稽关系为：第一项加第二项之和，等于第三项加第四项之和）</w:t>
            </w:r>
          </w:p>
        </w:tc>
        <w:tc>
          <w:tcPr>
            <w:tcW w:w="3250" w:type="pct"/>
            <w:gridSpan w:val="7"/>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1750" w:type="pct"/>
            <w:gridSpan w:val="3"/>
            <w:vMerge w:val="continue"/>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restart"/>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自然人</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法人或其他组织</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1750" w:type="pct"/>
            <w:gridSpan w:val="3"/>
            <w:vMerge w:val="continue"/>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商业企业</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科研机构</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社会公益组织</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法律服务机构</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其他</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一、本年新收政府信息公开申请数量</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二、上年结转政府信息公开申请数量</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restart"/>
            <w:tcBorders>
              <w:top w:val="nil"/>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三、本年度办理结果</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（一）予以公开</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（二）部分公开（区分处理的，只计这一情形，不计其他情形）</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restart"/>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（三）不予公开</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1、属于国家秘密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2、其他法律行政法规禁止公开</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3、危及“三安全一稳定”</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4、保护第三方合法权益</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5、属于三类内部事务信息</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6、属于四类过程性信息</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7、属于行政执法案卷</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8、属于行政查询事项</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restart"/>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（四）无法提供</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1、本机关不掌握相关政府信息</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2、没有现成信息需要另行制作</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3、补正后申请内容仍不明确</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restart"/>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（五）不予处理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1、信访举报投诉诉求类申请</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2、重复申请</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3、要求提供公开出版物</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4、无正当理由大量反复申请</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5、要求行政机关确认或重新出具已获取信息</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restart"/>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5997"/>
                <w:kern w:val="0"/>
                <w:sz w:val="18"/>
                <w:szCs w:val="18"/>
                <w:lang w:val="en-US" w:eastAsia="zh-CN" w:bidi="ar"/>
              </w:rPr>
            </w:pPr>
            <w:r>
              <w:rPr>
                <w:rFonts w:hint="eastAsia" w:ascii="宋体" w:hAnsi="宋体" w:eastAsia="宋体" w:cs="宋体"/>
                <w:b/>
                <w:bCs/>
                <w:color w:val="005997"/>
                <w:kern w:val="0"/>
                <w:sz w:val="18"/>
                <w:szCs w:val="18"/>
                <w:lang w:val="en-US" w:eastAsia="zh-CN" w:bidi="ar"/>
              </w:rPr>
              <w:t>（六）其他处理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5997"/>
                <w:kern w:val="0"/>
                <w:sz w:val="18"/>
                <w:szCs w:val="18"/>
                <w:lang w:val="en-US" w:eastAsia="zh-CN" w:bidi="ar"/>
              </w:rPr>
            </w:pPr>
            <w:r>
              <w:rPr>
                <w:rFonts w:hint="eastAsia" w:ascii="宋体" w:hAnsi="宋体" w:eastAsia="宋体" w:cs="宋体"/>
                <w:b/>
                <w:bCs/>
                <w:color w:val="005997"/>
                <w:kern w:val="0"/>
                <w:sz w:val="18"/>
                <w:szCs w:val="18"/>
                <w:lang w:val="en-US" w:eastAsia="zh-CN" w:bidi="ar"/>
              </w:rPr>
              <w:t>1、申请人无正当理由</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5997"/>
                <w:kern w:val="0"/>
                <w:sz w:val="18"/>
                <w:szCs w:val="18"/>
                <w:lang w:val="en-US" w:eastAsia="zh-CN" w:bidi="ar"/>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5997"/>
                <w:kern w:val="0"/>
                <w:sz w:val="18"/>
                <w:szCs w:val="18"/>
                <w:lang w:val="en-US" w:eastAsia="zh-CN" w:bidi="ar"/>
              </w:rPr>
            </w:pPr>
            <w:r>
              <w:rPr>
                <w:rFonts w:hint="eastAsia" w:ascii="宋体" w:hAnsi="宋体" w:eastAsia="宋体" w:cs="宋体"/>
                <w:b/>
                <w:bCs/>
                <w:color w:val="005997"/>
                <w:kern w:val="0"/>
                <w:sz w:val="18"/>
                <w:szCs w:val="18"/>
                <w:lang w:val="en-US" w:eastAsia="zh-CN" w:bidi="ar"/>
              </w:rPr>
              <w:t>2、申请人逾期</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5997"/>
                <w:kern w:val="0"/>
                <w:sz w:val="18"/>
                <w:szCs w:val="18"/>
                <w:lang w:val="en-US" w:eastAsia="zh-CN" w:bidi="ar"/>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5997"/>
                <w:kern w:val="0"/>
                <w:sz w:val="18"/>
                <w:szCs w:val="18"/>
                <w:lang w:val="en-US" w:eastAsia="zh-CN" w:bidi="ar"/>
              </w:rPr>
            </w:pPr>
            <w:r>
              <w:rPr>
                <w:rFonts w:hint="eastAsia" w:ascii="宋体" w:hAnsi="宋体" w:eastAsia="宋体" w:cs="宋体"/>
                <w:b/>
                <w:bCs/>
                <w:color w:val="005997"/>
                <w:kern w:val="0"/>
                <w:sz w:val="18"/>
                <w:szCs w:val="18"/>
                <w:lang w:val="en-US" w:eastAsia="zh-CN" w:bidi="ar"/>
              </w:rPr>
              <w:t>3、其他</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5997"/>
                <w:kern w:val="0"/>
                <w:sz w:val="18"/>
                <w:szCs w:val="18"/>
                <w:lang w:val="en-US" w:eastAsia="zh-CN" w:bidi="ar"/>
              </w:rPr>
            </w:pPr>
            <w:r>
              <w:rPr>
                <w:rFonts w:hint="eastAsia" w:ascii="宋体" w:hAnsi="宋体" w:eastAsia="宋体" w:cs="宋体"/>
                <w:b/>
                <w:bCs/>
                <w:color w:val="005997"/>
                <w:kern w:val="0"/>
                <w:sz w:val="18"/>
                <w:szCs w:val="18"/>
                <w:lang w:val="en-US" w:eastAsia="zh-CN" w:bidi="ar"/>
              </w:rPr>
              <w:t>（七）总计</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四、结转下年度继续办理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bl>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bCs/>
          <w:color w:val="005997"/>
          <w:sz w:val="32"/>
          <w:szCs w:val="32"/>
          <w:lang w:val="en-US" w:eastAsia="zh-CN"/>
        </w:rPr>
      </w:pPr>
      <w:r>
        <w:rPr>
          <w:rFonts w:hint="eastAsia" w:ascii="黑体" w:hAnsi="黑体" w:eastAsia="黑体" w:cs="黑体"/>
          <w:b/>
          <w:bCs/>
          <w:color w:val="005997"/>
          <w:sz w:val="32"/>
          <w:szCs w:val="32"/>
          <w:lang w:eastAsia="zh-CN"/>
        </w:rPr>
        <w:t>（四）政府信息公开行政复议、行政诉讼情况</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bookmarkStart w:id="0" w:name="_GoBack"/>
      <w:bookmarkEnd w:id="0"/>
    </w:p>
    <w:tbl>
      <w:tblPr>
        <w:tblStyle w:val="4"/>
        <w:tblW w:w="5000" w:type="pct"/>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608"/>
        <w:gridCol w:w="608"/>
        <w:gridCol w:w="608"/>
        <w:gridCol w:w="608"/>
        <w:gridCol w:w="344"/>
        <w:gridCol w:w="609"/>
        <w:gridCol w:w="609"/>
        <w:gridCol w:w="609"/>
        <w:gridCol w:w="609"/>
        <w:gridCol w:w="344"/>
        <w:gridCol w:w="609"/>
        <w:gridCol w:w="609"/>
        <w:gridCol w:w="609"/>
        <w:gridCol w:w="609"/>
        <w:gridCol w:w="3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108" w:type="dxa"/>
            <w:bottom w:w="0" w:type="dxa"/>
            <w:right w:w="108" w:type="dxa"/>
          </w:tblCellMar>
        </w:tblPrEx>
        <w:tc>
          <w:tcPr>
            <w:tcW w:w="0" w:type="auto"/>
            <w:gridSpan w:val="5"/>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行政复议</w:t>
            </w:r>
          </w:p>
        </w:tc>
        <w:tc>
          <w:tcPr>
            <w:tcW w:w="0" w:type="auto"/>
            <w:gridSpan w:val="10"/>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restart"/>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结果维持</w:t>
            </w:r>
          </w:p>
        </w:tc>
        <w:tc>
          <w:tcPr>
            <w:tcW w:w="0" w:type="auto"/>
            <w:vMerge w:val="restart"/>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结果纠正</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其他结果</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尚未审结</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总计</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未经复议直接起诉</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结果维持</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结果纠正</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其他结果</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尚未审结</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总计</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结果维持</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结果纠正</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其他结果</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尚未审结</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bl>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bCs/>
          <w:color w:val="005997"/>
          <w:sz w:val="32"/>
          <w:szCs w:val="32"/>
          <w:lang w:val="en-US" w:eastAsia="zh-CN"/>
        </w:rPr>
      </w:pPr>
      <w:r>
        <w:rPr>
          <w:rFonts w:hint="eastAsia" w:ascii="黑体" w:hAnsi="黑体" w:eastAsia="黑体" w:cs="黑体"/>
          <w:b/>
          <w:bCs/>
          <w:color w:val="005997"/>
          <w:sz w:val="32"/>
          <w:szCs w:val="32"/>
          <w:lang w:eastAsia="zh-CN"/>
        </w:rPr>
        <w:t>（五）存在的主要问题及改进情况</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存在问题：在如何进一步深化公开内容、拓展公开形式、加强宣传和培训等方面存在不足。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改进情况一是深化政府信息公开内容。进一步深化政府信息公开的内容，选择群众关注度高的政府信息作为突破口，逐步形成不同领域的政府信息的公开规则。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二是加强培训和宣传工作。加强对领导干部和政府信息公开业务人员的培训，提升公开意识，提高业务水平。同时，通过报刊新闻加强宣传，正确引导社会公众正确行使知情权。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bCs/>
          <w:color w:val="005997"/>
          <w:sz w:val="32"/>
          <w:szCs w:val="32"/>
          <w:lang w:eastAsia="zh-CN"/>
        </w:rPr>
      </w:pPr>
      <w:r>
        <w:rPr>
          <w:rFonts w:hint="eastAsia" w:ascii="黑体" w:hAnsi="黑体" w:eastAsia="黑体" w:cs="黑体"/>
          <w:b/>
          <w:bCs/>
          <w:color w:val="005997"/>
          <w:sz w:val="32"/>
          <w:szCs w:val="32"/>
          <w:lang w:eastAsia="zh-CN"/>
        </w:rPr>
        <w:t>（六）其他需要报告的事项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无其他需要报告事项。 </w:t>
      </w:r>
    </w:p>
    <w:sectPr>
      <w:pgSz w:w="11906" w:h="1683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YjQ5MDhlMTUwODUzM2VlZmI1NDI0NzZiN2M1MjIifQ=="/>
  </w:docVars>
  <w:rsids>
    <w:rsidRoot w:val="1B4B4DEB"/>
    <w:rsid w:val="07E74A05"/>
    <w:rsid w:val="19CE2C5B"/>
    <w:rsid w:val="1B4B4DEB"/>
    <w:rsid w:val="23897C87"/>
    <w:rsid w:val="29EF5C0E"/>
    <w:rsid w:val="505A7D1E"/>
    <w:rsid w:val="5A445C37"/>
    <w:rsid w:val="6D8E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val="0"/>
      <w:keepLines w:val="0"/>
      <w:widowControl/>
      <w:suppressLineNumbers w:val="0"/>
      <w:spacing w:before="0" w:beforeAutospacing="1" w:after="0" w:afterAutospacing="1"/>
      <w:ind w:left="0" w:right="0"/>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autoRedefine/>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2024-01-25T00:39:00Z</dcterms:created>
  <dc:creator>耘儿</dc:creator>
  <cp:lastModifiedBy>耘儿</cp:lastModifiedBy>
  <dcterms:modified xsi:type="dcterms:W3CDTF">2024-03-05T03:17:58Z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A2A45EA795C143BC9B245CAE4C546986_11</vt:lpwstr>
  </property>
</Properties>
</file>