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0" w:afterAutospacing="0" w:line="15" w:lineRule="atLeast"/>
        <w:ind w:left="0" w:right="0" w:firstLine="420"/>
        <w:jc w:val="center"/>
      </w:pPr>
      <w:r>
        <w:rPr>
          <w:rFonts w:ascii="黑体" w:hAnsi="宋体" w:eastAsia="黑体" w:cs="黑体"/>
          <w:sz w:val="43"/>
          <w:szCs w:val="43"/>
          <w:shd w:val="clear" w:fill="FFFFFF"/>
        </w:rPr>
        <w:t>海南省临高县退役军人事务局</w:t>
      </w:r>
    </w:p>
    <w:p>
      <w:pPr>
        <w:pStyle w:val="2"/>
        <w:keepNext w:val="0"/>
        <w:keepLines w:val="0"/>
        <w:widowControl/>
        <w:suppressLineNumbers w:val="0"/>
        <w:spacing w:before="450" w:beforeAutospacing="0" w:after="0" w:afterAutospacing="0" w:line="15" w:lineRule="atLeast"/>
        <w:ind w:left="0" w:right="0" w:firstLine="420"/>
        <w:jc w:val="center"/>
      </w:pPr>
      <w:r>
        <w:rPr>
          <w:rFonts w:hint="eastAsia" w:ascii="黑体" w:hAnsi="宋体" w:eastAsia="黑体" w:cs="黑体"/>
          <w:sz w:val="43"/>
          <w:szCs w:val="43"/>
          <w:shd w:val="clear" w:fill="FFFFFF"/>
        </w:rPr>
        <w:t>2019年度部门决算</w:t>
      </w:r>
    </w:p>
    <w:p>
      <w:pPr>
        <w:pStyle w:val="2"/>
        <w:keepNext w:val="0"/>
        <w:keepLines w:val="0"/>
        <w:widowControl/>
        <w:suppressLineNumbers w:val="0"/>
        <w:spacing w:before="450" w:beforeAutospacing="0" w:after="0" w:afterAutospacing="0" w:line="15" w:lineRule="atLeast"/>
        <w:ind w:left="0" w:right="0" w:firstLine="420"/>
        <w:jc w:val="center"/>
      </w:pPr>
      <w:r>
        <w:rPr>
          <w:rStyle w:val="5"/>
          <w:rFonts w:hint="eastAsia" w:ascii="黑体" w:hAnsi="宋体" w:eastAsia="黑体" w:cs="黑体"/>
          <w:sz w:val="31"/>
          <w:szCs w:val="31"/>
          <w:shd w:val="clear" w:fill="FFFFFF"/>
        </w:rPr>
        <w:t> </w:t>
      </w:r>
    </w:p>
    <w:p>
      <w:pPr>
        <w:pStyle w:val="2"/>
        <w:keepNext w:val="0"/>
        <w:keepLines w:val="0"/>
        <w:widowControl/>
        <w:suppressLineNumbers w:val="0"/>
        <w:spacing w:before="450" w:beforeAutospacing="0" w:after="0" w:afterAutospacing="0" w:line="15" w:lineRule="atLeast"/>
        <w:ind w:left="0" w:right="0" w:firstLine="420"/>
        <w:jc w:val="center"/>
      </w:pPr>
      <w:bookmarkStart w:id="0" w:name="_Toc11440_WPSOffice_Type2"/>
      <w:bookmarkEnd w:id="0"/>
      <w:r>
        <w:rPr>
          <w:rFonts w:hint="eastAsia" w:ascii="黑体" w:hAnsi="宋体" w:eastAsia="黑体" w:cs="黑体"/>
          <w:sz w:val="43"/>
          <w:szCs w:val="43"/>
          <w:shd w:val="clear" w:fill="FFFFFF"/>
        </w:rPr>
        <w:t>目  录</w:t>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"_Toc1704_WPSOffice_Level1" </w:instrText>
      </w:r>
      <w:r>
        <w:rPr>
          <w:color w:val="000000"/>
          <w:sz w:val="21"/>
          <w:szCs w:val="21"/>
          <w:u w:val="single"/>
          <w:shd w:val="clear" w:fill="FFFFFF"/>
        </w:rPr>
        <w:fldChar w:fldCharType="separate"/>
      </w:r>
      <w:r>
        <w:rPr>
          <w:rStyle w:val="8"/>
          <w:rFonts w:hint="eastAsia" w:ascii="黑体" w:hAnsi="宋体" w:eastAsia="黑体" w:cs="黑体"/>
          <w:color w:val="000000"/>
          <w:sz w:val="31"/>
          <w:szCs w:val="31"/>
          <w:u w:val="single"/>
          <w:shd w:val="clear" w:fill="FFFFFF"/>
        </w:rPr>
        <w:t>第一部分  临高县退役军人事务局部门概况</w:t>
      </w:r>
      <w:r>
        <w:rPr>
          <w:rStyle w:val="8"/>
          <w:color w:val="000000"/>
          <w:sz w:val="21"/>
          <w:szCs w:val="21"/>
          <w:u w:val="single"/>
          <w:shd w:val="clear" w:fill="FFFFFF"/>
        </w:rPr>
        <w:t xml:space="preserve"> </w:t>
      </w:r>
      <w:r>
        <w:rPr>
          <w:rStyle w:val="8"/>
          <w:rFonts w:hint="eastAsia" w:ascii="宋体" w:hAnsi="宋体" w:eastAsia="宋体" w:cs="宋体"/>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"_Toc20274_WPSOffice_Level2" </w:instrText>
      </w:r>
      <w:r>
        <w:rPr>
          <w:color w:val="000000"/>
          <w:sz w:val="21"/>
          <w:szCs w:val="21"/>
          <w:u w:val="single"/>
          <w:shd w:val="clear" w:fill="FFFFFF"/>
        </w:rPr>
        <w:fldChar w:fldCharType="separate"/>
      </w:r>
      <w:r>
        <w:rPr>
          <w:rStyle w:val="8"/>
          <w:rFonts w:ascii="仿宋" w:hAnsi="仿宋" w:eastAsia="仿宋" w:cs="仿宋"/>
          <w:color w:val="000000"/>
          <w:sz w:val="31"/>
          <w:szCs w:val="31"/>
          <w:u w:val="single"/>
          <w:shd w:val="clear" w:fill="FFFFFF"/>
        </w:rPr>
        <w:t>一、部门职责</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"_Toc4833_WPSOffice_Level2"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二、机构设置</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"_Toc28253_WPSOffice_Level1" </w:instrText>
      </w:r>
      <w:r>
        <w:rPr>
          <w:color w:val="000000"/>
          <w:sz w:val="21"/>
          <w:szCs w:val="21"/>
          <w:u w:val="single"/>
          <w:shd w:val="clear" w:fill="FFFFFF"/>
        </w:rPr>
        <w:fldChar w:fldCharType="separate"/>
      </w:r>
      <w:r>
        <w:rPr>
          <w:rStyle w:val="8"/>
          <w:rFonts w:hint="eastAsia" w:ascii="黑体" w:hAnsi="宋体" w:eastAsia="黑体" w:cs="黑体"/>
          <w:color w:val="000000"/>
          <w:sz w:val="31"/>
          <w:szCs w:val="31"/>
          <w:u w:val="single"/>
          <w:shd w:val="clear" w:fill="FFFFFF"/>
        </w:rPr>
        <w:t>第二部分  临高县退役军人事务局部门2019年度部门决算批复表</w:t>
      </w:r>
      <w:r>
        <w:rPr>
          <w:rStyle w:val="8"/>
          <w:color w:val="000000"/>
          <w:sz w:val="21"/>
          <w:szCs w:val="21"/>
          <w:u w:val="single"/>
          <w:shd w:val="clear" w:fill="FFFFFF"/>
        </w:rPr>
        <w:t xml:space="preserve"> </w:t>
      </w:r>
      <w:r>
        <w:rPr>
          <w:rStyle w:val="8"/>
          <w:rFonts w:hint="eastAsia" w:ascii="宋体" w:hAnsi="宋体" w:eastAsia="宋体" w:cs="宋体"/>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"_Toc11518_WPSOffice_Level2"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一、收入支出决算批复表</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"_Toc28622_WPSOffice_Level2"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二、收入决算批复表</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"_Toc5489_WPSOffice_Level2"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三、支出决算批复表</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"_Toc23493_WPSOffice_Level2"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四、 财政拨款收入支出决算批复表</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"_Toc7879_WPSOffice_Level2"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五、一般公共预算财政拨款收入支出决算批复表</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"_Toc8373_WPSOffice_Level2"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六、一般公共预算财政拨款基本支出决算批复表</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"_Toc1820_WPSOffice_Level2"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七、政府性基金预算财政拨款收入支出决算批复表</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"_Toc21310_WPSOffice_Level2"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八、一般公共预算财政拨款“三公”经费支出决算批复表</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3</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"_Toc21310_WPSOffice_Level2"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九、政府性基金预算财政拨款“三公”经费支出决算批复表</w:t>
      </w:r>
      <w:r>
        <w:rPr>
          <w:color w:val="000000"/>
          <w:sz w:val="21"/>
          <w:szCs w:val="21"/>
          <w:u w:val="single"/>
          <w:shd w:val="clear" w:fill="FFFFFF"/>
        </w:rPr>
        <w:fldChar w:fldCharType="end"/>
      </w:r>
      <w:r>
        <w:rPr>
          <w:rFonts w:hint="eastAsia" w:ascii="仿宋" w:hAnsi="仿宋" w:eastAsia="仿宋" w:cs="仿宋"/>
          <w:color w:val="000000"/>
          <w:sz w:val="31"/>
          <w:szCs w:val="31"/>
          <w:shd w:val="clear" w:fill="FFFFFF"/>
        </w:rPr>
        <w:t>3</w:t>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"_Toc27590_WPSOffice_Level1" </w:instrText>
      </w:r>
      <w:r>
        <w:rPr>
          <w:color w:val="000000"/>
          <w:sz w:val="21"/>
          <w:szCs w:val="21"/>
          <w:u w:val="single"/>
          <w:shd w:val="clear" w:fill="FFFFFF"/>
        </w:rPr>
        <w:fldChar w:fldCharType="separate"/>
      </w:r>
      <w:r>
        <w:rPr>
          <w:rStyle w:val="8"/>
          <w:rFonts w:hint="eastAsia" w:ascii="黑体" w:hAnsi="宋体" w:eastAsia="黑体" w:cs="黑体"/>
          <w:color w:val="000000"/>
          <w:sz w:val="31"/>
          <w:szCs w:val="31"/>
          <w:u w:val="single"/>
          <w:shd w:val="clear" w:fill="FFFFFF"/>
        </w:rPr>
        <w:t>第三部分</w:t>
      </w:r>
      <w:r>
        <w:rPr>
          <w:rStyle w:val="8"/>
          <w:rFonts w:hint="eastAsia" w:ascii="宋体" w:hAnsi="宋体" w:eastAsia="宋体" w:cs="宋体"/>
          <w:color w:val="000000"/>
          <w:sz w:val="31"/>
          <w:szCs w:val="31"/>
          <w:u w:val="single"/>
          <w:shd w:val="clear" w:fill="FFFFFF"/>
        </w:rPr>
        <w:t>  </w:t>
      </w:r>
      <w:r>
        <w:rPr>
          <w:rStyle w:val="8"/>
          <w:rFonts w:hint="eastAsia" w:ascii="黑体" w:hAnsi="宋体" w:eastAsia="黑体" w:cs="黑体"/>
          <w:color w:val="000000"/>
          <w:sz w:val="31"/>
          <w:szCs w:val="31"/>
          <w:u w:val="single"/>
          <w:shd w:val="clear" w:fill="FFFFFF"/>
        </w:rPr>
        <w:t>临高县退役军人事务局部门2019年度部门决算情况说明</w:t>
      </w:r>
      <w:r>
        <w:rPr>
          <w:rStyle w:val="8"/>
          <w:color w:val="000000"/>
          <w:sz w:val="21"/>
          <w:szCs w:val="21"/>
          <w:u w:val="single"/>
          <w:shd w:val="clear" w:fill="FFFFFF"/>
        </w:rPr>
        <w:t xml:space="preserve"> </w:t>
      </w:r>
      <w:r>
        <w:rPr>
          <w:rStyle w:val="8"/>
          <w:rFonts w:hint="eastAsia" w:ascii="宋体" w:hAnsi="宋体" w:eastAsia="宋体" w:cs="宋体"/>
          <w:color w:val="000000"/>
          <w:sz w:val="31"/>
          <w:szCs w:val="31"/>
          <w:u w:val="single"/>
          <w:shd w:val="clear" w:fill="FFFFFF"/>
        </w:rPr>
        <w:t>4</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"_Toc21737_WPSOffice_Level2"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一、收入支出决算总体情况说明</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4</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"_Toc19535_WPSOffice_Level2"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二、收入决算情况说明</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5</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"_Toc19535_WPSOffice_Level2"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三、支出决算情况说明</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5</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"_Toc19535_WPSOffice_Level2"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四、财政拨款收入支出决算总体情况说明</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5</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"_Toc19535_WPSOffice_Level2"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五、一般公共预算财政拨款支出决算情况说明</w:t>
      </w:r>
      <w:r>
        <w:rPr>
          <w:rStyle w:val="8"/>
          <w:color w:val="000000"/>
          <w:sz w:val="21"/>
          <w:szCs w:val="21"/>
          <w:u w:val="single"/>
          <w:shd w:val="clear" w:fill="FFFFFF"/>
        </w:rPr>
        <w:t xml:space="preserve"> </w:t>
      </w:r>
      <w:r>
        <w:rPr>
          <w:rStyle w:val="8"/>
          <w:rFonts w:hint="eastAsia" w:ascii="仿宋" w:hAnsi="仿宋" w:eastAsia="仿宋" w:cs="仿宋"/>
          <w:color w:val="000000"/>
          <w:sz w:val="31"/>
          <w:szCs w:val="31"/>
          <w:u w:val="single"/>
          <w:shd w:val="clear" w:fill="FFFFFF"/>
        </w:rPr>
        <w:t>6</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"_Toc19535_WPSOffice_Level2"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六、一般公共预算财政拨款基本支出决算情况说明</w:t>
      </w:r>
      <w:r>
        <w:rPr>
          <w:color w:val="000000"/>
          <w:sz w:val="21"/>
          <w:szCs w:val="21"/>
          <w:u w:val="single"/>
          <w:shd w:val="clear" w:fill="FFFFFF"/>
        </w:rPr>
        <w:fldChar w:fldCharType="end"/>
      </w:r>
      <w:r>
        <w:rPr>
          <w:sz w:val="21"/>
          <w:szCs w:val="21"/>
          <w:shd w:val="clear" w:fill="FFFFFF"/>
        </w:rPr>
        <w:t xml:space="preserve"> </w:t>
      </w:r>
      <w:r>
        <w:rPr>
          <w:rFonts w:hint="eastAsia" w:ascii="仿宋" w:hAnsi="仿宋" w:eastAsia="仿宋" w:cs="仿宋"/>
          <w:color w:val="000000"/>
          <w:sz w:val="31"/>
          <w:szCs w:val="31"/>
          <w:shd w:val="clear" w:fill="FFFFFF"/>
        </w:rPr>
        <w:t>7</w:t>
      </w:r>
    </w:p>
    <w:p>
      <w:pPr>
        <w:pStyle w:val="2"/>
        <w:keepNext w:val="0"/>
        <w:keepLines w:val="0"/>
        <w:widowControl/>
        <w:suppressLineNumbers w:val="0"/>
        <w:spacing w:before="450" w:beforeAutospacing="0" w:after="0" w:afterAutospacing="0" w:line="15" w:lineRule="atLeast"/>
        <w:ind w:left="0" w:right="0" w:firstLine="420"/>
      </w:pPr>
      <w:r>
        <w:rPr>
          <w:rFonts w:hint="eastAsia" w:ascii="仿宋" w:hAnsi="仿宋" w:eastAsia="仿宋" w:cs="仿宋"/>
          <w:color w:val="000000"/>
          <w:sz w:val="31"/>
          <w:szCs w:val="31"/>
          <w:shd w:val="clear" w:fill="FFFFFF"/>
        </w:rPr>
        <w:t>七、政府性基金预算财政拨款收入支出决算情况说明</w:t>
      </w:r>
      <w:r>
        <w:rPr>
          <w:color w:val="000000"/>
          <w:sz w:val="21"/>
          <w:szCs w:val="21"/>
          <w:shd w:val="clear" w:fill="FFFFFF"/>
        </w:rPr>
        <w:t xml:space="preserve"> </w:t>
      </w:r>
      <w:r>
        <w:rPr>
          <w:rFonts w:hint="eastAsia" w:ascii="仿宋" w:hAnsi="仿宋" w:eastAsia="仿宋" w:cs="仿宋"/>
          <w:color w:val="000000"/>
          <w:sz w:val="31"/>
          <w:szCs w:val="31"/>
          <w:shd w:val="clear" w:fill="FFFFFF"/>
        </w:rPr>
        <w:t>8</w:t>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"_Toc5978_WPSOffice_Level2"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八、一般公共预算财政拨款“三公”经费支出决算情况说明</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rFonts w:hint="eastAsia" w:ascii="仿宋" w:hAnsi="仿宋" w:eastAsia="仿宋" w:cs="仿宋"/>
          <w:color w:val="000000"/>
          <w:sz w:val="31"/>
          <w:szCs w:val="31"/>
          <w:shd w:val="clear" w:fill="FFFFFF"/>
        </w:rPr>
        <w:t>8</w:t>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"_Toc5978_WPSOffice_Level2"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九、政府性基金预算财政拨款“三公”经费支出决算情况说明</w:t>
      </w:r>
      <w:r>
        <w:rPr>
          <w:color w:val="000000"/>
          <w:sz w:val="21"/>
          <w:szCs w:val="21"/>
          <w:u w:val="single"/>
          <w:shd w:val="clear" w:fill="FFFFFF"/>
        </w:rPr>
        <w:fldChar w:fldCharType="end"/>
      </w:r>
    </w:p>
    <w:p>
      <w:pPr>
        <w:pStyle w:val="2"/>
        <w:keepNext w:val="0"/>
        <w:keepLines w:val="0"/>
        <w:widowControl/>
        <w:suppressLineNumbers w:val="0"/>
        <w:spacing w:before="450" w:beforeAutospacing="0" w:after="0" w:afterAutospacing="0" w:line="15" w:lineRule="atLeast"/>
        <w:ind w:left="0" w:right="0" w:firstLine="420"/>
      </w:pPr>
      <w:r>
        <w:rPr>
          <w:rFonts w:hint="eastAsia" w:ascii="仿宋" w:hAnsi="仿宋" w:eastAsia="仿宋" w:cs="仿宋"/>
          <w:color w:val="000000"/>
          <w:sz w:val="31"/>
          <w:szCs w:val="31"/>
          <w:shd w:val="clear" w:fill="FFFFFF"/>
        </w:rPr>
        <w:t>10</w:t>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"_Toc19535_WPSOffice_Level2" </w:instrText>
      </w:r>
      <w:r>
        <w:rPr>
          <w:color w:val="000000"/>
          <w:sz w:val="21"/>
          <w:szCs w:val="21"/>
          <w:u w:val="single"/>
          <w:shd w:val="clear" w:fill="FFFFFF"/>
        </w:rPr>
        <w:fldChar w:fldCharType="separate"/>
      </w:r>
      <w:r>
        <w:rPr>
          <w:rStyle w:val="8"/>
          <w:rFonts w:hint="eastAsia" w:ascii="仿宋" w:hAnsi="仿宋" w:eastAsia="仿宋" w:cs="仿宋"/>
          <w:color w:val="000000"/>
          <w:sz w:val="31"/>
          <w:szCs w:val="31"/>
          <w:u w:val="single"/>
          <w:shd w:val="clear" w:fill="FFFFFF"/>
        </w:rPr>
        <w:t>十、预算绩效情况说明</w:t>
      </w:r>
      <w:r>
        <w:rPr>
          <w:color w:val="000000"/>
          <w:sz w:val="21"/>
          <w:szCs w:val="21"/>
          <w:u w:val="single"/>
          <w:shd w:val="clear" w:fill="FFFFFF"/>
        </w:rPr>
        <w:fldChar w:fldCharType="end"/>
      </w:r>
      <w:r>
        <w:rPr>
          <w:rFonts w:hint="eastAsia" w:ascii="仿宋" w:hAnsi="仿宋" w:eastAsia="仿宋" w:cs="仿宋"/>
          <w:color w:val="000000"/>
          <w:sz w:val="31"/>
          <w:szCs w:val="31"/>
          <w:shd w:val="clear" w:fill="FFFFFF"/>
        </w:rPr>
        <w:t>11</w:t>
      </w:r>
    </w:p>
    <w:p>
      <w:pPr>
        <w:pStyle w:val="2"/>
        <w:keepNext w:val="0"/>
        <w:keepLines w:val="0"/>
        <w:widowControl/>
        <w:suppressLineNumbers w:val="0"/>
        <w:spacing w:before="450" w:beforeAutospacing="0" w:after="0" w:afterAutospacing="0" w:line="15" w:lineRule="atLeast"/>
        <w:ind w:left="0" w:right="0" w:firstLine="420"/>
      </w:pPr>
      <w:r>
        <w:rPr>
          <w:rFonts w:hint="eastAsia" w:ascii="仿宋" w:hAnsi="仿宋" w:eastAsia="仿宋" w:cs="仿宋"/>
          <w:color w:val="000000"/>
          <w:sz w:val="31"/>
          <w:szCs w:val="31"/>
          <w:shd w:val="clear" w:fill="FFFFFF"/>
        </w:rPr>
        <w:t>十一、其他重要事项情况说明</w:t>
      </w:r>
      <w:r>
        <w:rPr>
          <w:color w:val="000000"/>
          <w:sz w:val="21"/>
          <w:szCs w:val="21"/>
          <w:shd w:val="clear" w:fill="FFFFFF"/>
        </w:rPr>
        <w:t xml:space="preserve"> </w:t>
      </w:r>
      <w:r>
        <w:rPr>
          <w:rFonts w:hint="eastAsia" w:ascii="仿宋" w:hAnsi="仿宋" w:eastAsia="仿宋" w:cs="仿宋"/>
          <w:color w:val="000000"/>
          <w:sz w:val="31"/>
          <w:szCs w:val="31"/>
          <w:shd w:val="clear" w:fill="FFFFFF"/>
        </w:rPr>
        <w:t>11</w:t>
      </w:r>
    </w:p>
    <w:p>
      <w:pPr>
        <w:pStyle w:val="2"/>
        <w:keepNext w:val="0"/>
        <w:keepLines w:val="0"/>
        <w:widowControl/>
        <w:suppressLineNumbers w:val="0"/>
        <w:spacing w:before="450" w:beforeAutospacing="0" w:after="0" w:afterAutospacing="0" w:line="15" w:lineRule="atLeast"/>
        <w:ind w:left="0" w:right="0" w:firstLine="420"/>
      </w:pPr>
      <w:r>
        <w:rPr>
          <w:color w:val="000000"/>
          <w:sz w:val="21"/>
          <w:szCs w:val="21"/>
          <w:u w:val="single"/>
          <w:shd w:val="clear" w:fill="FFFFFF"/>
        </w:rPr>
        <w:fldChar w:fldCharType="begin"/>
      </w:r>
      <w:r>
        <w:rPr>
          <w:color w:val="000000"/>
          <w:sz w:val="21"/>
          <w:szCs w:val="21"/>
          <w:u w:val="single"/>
          <w:shd w:val="clear" w:fill="FFFFFF"/>
        </w:rPr>
        <w:instrText xml:space="preserve"> HYPERLINK "http://lingao.hainan.gov.cn/xxgkzl/xyjjrswj/xtyjrswjzfxxgkml/202011/t20201103_2878440.html" \l "_Toc15425_WPSOffice_Level1" </w:instrText>
      </w:r>
      <w:r>
        <w:rPr>
          <w:color w:val="000000"/>
          <w:sz w:val="21"/>
          <w:szCs w:val="21"/>
          <w:u w:val="single"/>
          <w:shd w:val="clear" w:fill="FFFFFF"/>
        </w:rPr>
        <w:fldChar w:fldCharType="separate"/>
      </w:r>
      <w:r>
        <w:rPr>
          <w:rStyle w:val="8"/>
          <w:rFonts w:hint="eastAsia" w:ascii="黑体" w:hAnsi="宋体" w:eastAsia="黑体" w:cs="黑体"/>
          <w:color w:val="000000"/>
          <w:sz w:val="31"/>
          <w:szCs w:val="31"/>
          <w:u w:val="single"/>
          <w:shd w:val="clear" w:fill="FFFFFF"/>
        </w:rPr>
        <w:t>第四部分  名词解释</w:t>
      </w:r>
      <w:r>
        <w:rPr>
          <w:rStyle w:val="8"/>
          <w:color w:val="000000"/>
          <w:sz w:val="21"/>
          <w:szCs w:val="21"/>
          <w:u w:val="single"/>
          <w:shd w:val="clear" w:fill="FFFFFF"/>
        </w:rPr>
        <w:t xml:space="preserve"> </w:t>
      </w:r>
      <w:r>
        <w:rPr>
          <w:rStyle w:val="8"/>
          <w:rFonts w:hint="default" w:ascii="Times New Roman" w:hAnsi="Times New Roman" w:cs="Times New Roman"/>
          <w:color w:val="000000"/>
          <w:sz w:val="31"/>
          <w:szCs w:val="31"/>
          <w:u w:val="single"/>
          <w:shd w:val="clear" w:fill="FFFFFF"/>
        </w:rPr>
        <w:t>1</w:t>
      </w:r>
      <w:r>
        <w:rPr>
          <w:color w:val="000000"/>
          <w:sz w:val="21"/>
          <w:szCs w:val="21"/>
          <w:u w:val="single"/>
          <w:shd w:val="clear" w:fill="FFFFFF"/>
        </w:rPr>
        <w:fldChar w:fldCharType="end"/>
      </w:r>
      <w:r>
        <w:rPr>
          <w:rFonts w:hint="eastAsia" w:ascii="宋体" w:hAnsi="宋体" w:eastAsia="宋体" w:cs="宋体"/>
          <w:color w:val="000000"/>
          <w:sz w:val="31"/>
          <w:szCs w:val="31"/>
          <w:shd w:val="clear" w:fill="FFFFFF"/>
        </w:rPr>
        <w:t>3</w:t>
      </w:r>
    </w:p>
    <w:p>
      <w:pPr>
        <w:pStyle w:val="2"/>
        <w:keepNext w:val="0"/>
        <w:keepLines w:val="0"/>
        <w:widowControl/>
        <w:suppressLineNumbers w:val="0"/>
        <w:spacing w:before="450" w:beforeAutospacing="0" w:after="0" w:afterAutospacing="0" w:line="15" w:lineRule="atLeast"/>
        <w:ind w:left="0" w:right="0" w:firstLine="420"/>
        <w:jc w:val="both"/>
      </w:pPr>
      <w:r>
        <w:rPr>
          <w:rStyle w:val="5"/>
          <w:rFonts w:hint="eastAsia" w:ascii="黑体" w:hAnsi="宋体" w:eastAsia="黑体" w:cs="黑体"/>
          <w:sz w:val="31"/>
          <w:szCs w:val="31"/>
          <w:shd w:val="clear" w:fill="FFFFFF"/>
        </w:rPr>
        <w:t> </w:t>
      </w:r>
    </w:p>
    <w:p>
      <w:pPr>
        <w:pStyle w:val="2"/>
        <w:keepNext w:val="0"/>
        <w:keepLines w:val="0"/>
        <w:widowControl/>
        <w:suppressLineNumbers w:val="0"/>
        <w:spacing w:before="450" w:beforeAutospacing="0" w:after="0" w:afterAutospacing="0" w:line="15" w:lineRule="atLeast"/>
        <w:ind w:left="0" w:right="0" w:firstLine="420"/>
        <w:jc w:val="center"/>
      </w:pPr>
      <w:bookmarkStart w:id="1" w:name="_Toc23465_WPSOffice_Level1"/>
      <w:bookmarkEnd w:id="1"/>
      <w:bookmarkStart w:id="2" w:name="_Toc10049_WPSOffice_Level1"/>
      <w:bookmarkEnd w:id="2"/>
      <w:bookmarkStart w:id="3" w:name="_Toc22941_WPSOffice_Level1"/>
      <w:bookmarkEnd w:id="3"/>
      <w:bookmarkStart w:id="4" w:name="_Toc32433_WPSOffice_Level1"/>
      <w:bookmarkEnd w:id="4"/>
      <w:bookmarkStart w:id="5" w:name="_Toc1704_WPSOffice_Level1"/>
      <w:bookmarkEnd w:id="5"/>
      <w:bookmarkStart w:id="6" w:name="_Toc24238_WPSOffice_Level2"/>
      <w:bookmarkEnd w:id="6"/>
      <w:bookmarkStart w:id="7" w:name="_Toc10720_WPSOffice_Level1"/>
      <w:bookmarkEnd w:id="7"/>
      <w:bookmarkStart w:id="8" w:name="_Toc14159_WPSOffice_Level2"/>
      <w:bookmarkEnd w:id="8"/>
      <w:bookmarkStart w:id="9" w:name="_Toc26580_WPSOffice_Level2"/>
      <w:bookmarkEnd w:id="9"/>
      <w:bookmarkStart w:id="10" w:name="_Toc32622_WPSOffice_Level2"/>
      <w:bookmarkEnd w:id="10"/>
      <w:bookmarkStart w:id="11" w:name="_Toc20205_WPSOffice_Level2"/>
      <w:bookmarkEnd w:id="11"/>
      <w:bookmarkStart w:id="12" w:name="_Toc20274_WPSOffice_Level2"/>
      <w:r>
        <w:rPr>
          <w:rFonts w:hint="eastAsia" w:ascii="黑体" w:hAnsi="宋体" w:eastAsia="黑体" w:cs="黑体"/>
          <w:color w:val="434343"/>
          <w:sz w:val="31"/>
          <w:szCs w:val="31"/>
          <w:u w:val="none"/>
          <w:shd w:val="clear" w:fill="FFFFFF"/>
        </w:rPr>
        <w:t>第一部分</w:t>
      </w:r>
      <w:bookmarkEnd w:id="12"/>
      <w:r>
        <w:rPr>
          <w:rFonts w:hint="eastAsia" w:ascii="黑体" w:hAnsi="宋体" w:eastAsia="黑体" w:cs="黑体"/>
          <w:sz w:val="31"/>
          <w:szCs w:val="31"/>
          <w:shd w:val="clear" w:fill="FFFFFF"/>
        </w:rPr>
        <w:t>  临高县退役军人事务局部门概况</w:t>
      </w:r>
    </w:p>
    <w:p>
      <w:pPr>
        <w:pStyle w:val="2"/>
        <w:keepNext w:val="0"/>
        <w:keepLines w:val="0"/>
        <w:widowControl/>
        <w:suppressLineNumbers w:val="0"/>
        <w:spacing w:before="450" w:beforeAutospacing="0" w:after="0" w:afterAutospacing="0" w:line="15" w:lineRule="atLeast"/>
        <w:ind w:left="0" w:right="0" w:firstLine="420"/>
      </w:pPr>
      <w:r>
        <w:rPr>
          <w:rFonts w:ascii="楷体" w:hAnsi="楷体" w:eastAsia="楷体" w:cs="楷体"/>
          <w:sz w:val="31"/>
          <w:szCs w:val="31"/>
          <w:shd w:val="clear" w:fill="FFFFFF"/>
        </w:rPr>
        <w:t> </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一、部门职责</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（一）组织实施全县退役军人事务政策规定、规章制度和发展战略，研究推进退役军人事务改革，研究提出全县退役军人事务方面的意见和建议。</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（二）会同有关部门落实全县退役军人特殊保障政策和部分企业军队转业干部解困稳定政策。</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（三）完成县委、县政府和上级部门交办的其他任务。</w:t>
      </w:r>
    </w:p>
    <w:p>
      <w:pPr>
        <w:pStyle w:val="2"/>
        <w:keepNext w:val="0"/>
        <w:keepLines w:val="0"/>
        <w:widowControl/>
        <w:suppressLineNumbers w:val="0"/>
        <w:spacing w:before="450" w:beforeAutospacing="0" w:after="0" w:afterAutospacing="0" w:line="15" w:lineRule="atLeast"/>
        <w:ind w:left="0" w:right="0" w:firstLine="420"/>
      </w:pPr>
      <w:bookmarkStart w:id="13" w:name="_Toc24059_WPSOffice_Level2"/>
      <w:bookmarkEnd w:id="13"/>
      <w:bookmarkStart w:id="14" w:name="_Toc6572_WPSOffice_Level2"/>
      <w:bookmarkEnd w:id="14"/>
      <w:bookmarkStart w:id="15" w:name="_Toc24474_WPSOffice_Level2"/>
      <w:bookmarkEnd w:id="15"/>
      <w:bookmarkStart w:id="16" w:name="_Toc17796_WPSOffice_Level2"/>
      <w:bookmarkEnd w:id="16"/>
      <w:bookmarkStart w:id="17" w:name="_Toc4833_WPSOffice_Level2"/>
      <w:r>
        <w:rPr>
          <w:rFonts w:hint="eastAsia" w:ascii="黑体" w:hAnsi="宋体" w:eastAsia="黑体" w:cs="黑体"/>
          <w:color w:val="434343"/>
          <w:sz w:val="31"/>
          <w:szCs w:val="31"/>
          <w:u w:val="none"/>
          <w:shd w:val="clear" w:fill="FFFFFF"/>
        </w:rPr>
        <w:t>二、</w:t>
      </w:r>
      <w:bookmarkEnd w:id="17"/>
      <w:r>
        <w:rPr>
          <w:rFonts w:hint="eastAsia" w:ascii="黑体" w:hAnsi="宋体" w:eastAsia="黑体" w:cs="黑体"/>
          <w:sz w:val="31"/>
          <w:szCs w:val="31"/>
          <w:shd w:val="clear" w:fill="FFFFFF"/>
        </w:rPr>
        <w:t>机构设置</w:t>
      </w:r>
    </w:p>
    <w:p>
      <w:pPr>
        <w:pStyle w:val="2"/>
        <w:keepNext w:val="0"/>
        <w:keepLines w:val="0"/>
        <w:widowControl/>
        <w:suppressLineNumbers w:val="0"/>
        <w:spacing w:before="450" w:beforeAutospacing="0" w:after="0" w:afterAutospacing="0" w:line="15" w:lineRule="atLeast"/>
        <w:ind w:left="0" w:right="0" w:firstLine="420"/>
      </w:pPr>
      <w:r>
        <w:rPr>
          <w:rFonts w:ascii="仿宋_GB2312" w:eastAsia="仿宋_GB2312" w:cs="仿宋_GB2312"/>
          <w:sz w:val="31"/>
          <w:szCs w:val="31"/>
          <w:shd w:val="clear" w:fill="FFFFFF"/>
        </w:rPr>
        <w:t>纳入本部门</w:t>
      </w:r>
      <w:r>
        <w:rPr>
          <w:rFonts w:hint="default" w:ascii="仿宋_GB2312" w:eastAsia="仿宋_GB2312" w:cs="仿宋_GB2312"/>
          <w:sz w:val="31"/>
          <w:szCs w:val="31"/>
          <w:shd w:val="clear" w:fill="FFFFFF"/>
        </w:rPr>
        <w:t>2019年度部门决算编制范围的二级预算单位包括：</w:t>
      </w:r>
    </w:p>
    <w:p>
      <w:pPr>
        <w:pStyle w:val="2"/>
        <w:keepNext w:val="0"/>
        <w:keepLines w:val="0"/>
        <w:widowControl/>
        <w:suppressLineNumbers w:val="0"/>
        <w:spacing w:before="450" w:beforeAutospacing="0" w:after="0" w:afterAutospacing="0" w:line="15" w:lineRule="atLeast"/>
        <w:ind w:left="0" w:right="0" w:firstLine="420"/>
      </w:pPr>
      <w:bookmarkStart w:id="18" w:name="_Toc25738_WPSOffice_Level2"/>
      <w:bookmarkEnd w:id="18"/>
      <w:bookmarkStart w:id="19" w:name="_Toc24421_WPSOffice_Level2"/>
      <w:r>
        <w:rPr>
          <w:rFonts w:hint="eastAsia" w:ascii="楷体" w:hAnsi="楷体" w:eastAsia="楷体" w:cs="楷体"/>
          <w:color w:val="434343"/>
          <w:sz w:val="31"/>
          <w:szCs w:val="31"/>
          <w:u w:val="none"/>
          <w:shd w:val="clear" w:fill="FFFFFF"/>
        </w:rPr>
        <w:t>（一）临高县退役军人事务局部门</w:t>
      </w:r>
      <w:bookmarkEnd w:id="19"/>
      <w:r>
        <w:rPr>
          <w:rFonts w:hint="eastAsia" w:ascii="楷体" w:hAnsi="楷体" w:eastAsia="楷体" w:cs="楷体"/>
          <w:sz w:val="31"/>
          <w:szCs w:val="31"/>
          <w:shd w:val="clear" w:fill="FFFFFF"/>
        </w:rPr>
        <w:t>本级</w:t>
      </w:r>
    </w:p>
    <w:p>
      <w:pPr>
        <w:pStyle w:val="2"/>
        <w:keepNext w:val="0"/>
        <w:keepLines w:val="0"/>
        <w:widowControl/>
        <w:suppressLineNumbers w:val="0"/>
        <w:spacing w:before="450" w:beforeAutospacing="0" w:after="0" w:afterAutospacing="0" w:line="15" w:lineRule="atLeast"/>
        <w:ind w:left="0" w:right="0" w:firstLine="420"/>
        <w:jc w:val="center"/>
      </w:pPr>
      <w:bookmarkStart w:id="20" w:name="_Toc8164_WPSOffice_Level1"/>
      <w:bookmarkEnd w:id="20"/>
      <w:bookmarkStart w:id="21" w:name="_Toc30690_WPSOffice_Level1"/>
      <w:bookmarkEnd w:id="21"/>
      <w:bookmarkStart w:id="22" w:name="_Toc6234_WPSOffice_Level1"/>
      <w:bookmarkEnd w:id="22"/>
      <w:bookmarkStart w:id="23" w:name="_Toc15521_WPSOffice_Level1"/>
      <w:bookmarkEnd w:id="23"/>
      <w:bookmarkStart w:id="24" w:name="_Toc30451_WPSOffice_Level1"/>
      <w:bookmarkEnd w:id="24"/>
      <w:bookmarkStart w:id="25" w:name="_Toc28253_WPSOffice_Level1"/>
      <w:bookmarkEnd w:id="25"/>
      <w:bookmarkStart w:id="26" w:name="_Toc6211_WPSOffice_Level2"/>
      <w:bookmarkEnd w:id="26"/>
      <w:bookmarkStart w:id="27" w:name="_Toc32695_WPSOffice_Level2"/>
      <w:bookmarkEnd w:id="27"/>
      <w:bookmarkStart w:id="28" w:name="_Toc8867_WPSOffice_Level2"/>
      <w:bookmarkEnd w:id="28"/>
      <w:bookmarkStart w:id="29" w:name="_Toc32472_WPSOffice_Level2"/>
      <w:bookmarkEnd w:id="29"/>
      <w:bookmarkStart w:id="30" w:name="_Toc4029_WPSOffice_Level2"/>
      <w:bookmarkEnd w:id="30"/>
      <w:bookmarkStart w:id="31" w:name="_Toc11518_WPSOffice_Level2"/>
      <w:r>
        <w:rPr>
          <w:rFonts w:hint="eastAsia" w:ascii="黑体" w:hAnsi="宋体" w:eastAsia="黑体" w:cs="黑体"/>
          <w:color w:val="434343"/>
          <w:sz w:val="31"/>
          <w:szCs w:val="31"/>
          <w:u w:val="none"/>
          <w:shd w:val="clear" w:fill="FFFFFF"/>
        </w:rPr>
        <w:t>第二部分</w:t>
      </w:r>
      <w:bookmarkEnd w:id="31"/>
      <w:r>
        <w:rPr>
          <w:rFonts w:hint="eastAsia" w:ascii="黑体" w:hAnsi="宋体" w:eastAsia="黑体" w:cs="黑体"/>
          <w:sz w:val="31"/>
          <w:szCs w:val="31"/>
          <w:shd w:val="clear" w:fill="FFFFFF"/>
        </w:rPr>
        <w:t>  临高县退役军人事务局部门2019年度部门决算公开报表</w:t>
      </w:r>
    </w:p>
    <w:p>
      <w:pPr>
        <w:pStyle w:val="2"/>
        <w:keepNext w:val="0"/>
        <w:keepLines w:val="0"/>
        <w:widowControl/>
        <w:suppressLineNumbers w:val="0"/>
        <w:spacing w:before="450" w:beforeAutospacing="0" w:after="0" w:afterAutospacing="0" w:line="15" w:lineRule="atLeast"/>
        <w:ind w:left="0" w:right="0" w:firstLine="420"/>
        <w:jc w:val="center"/>
      </w:pPr>
      <w:r>
        <w:rPr>
          <w:rFonts w:hint="eastAsia" w:ascii="黑体" w:hAnsi="宋体" w:eastAsia="黑体" w:cs="黑体"/>
          <w:sz w:val="31"/>
          <w:szCs w:val="31"/>
          <w:shd w:val="clear" w:fill="FFFFFF"/>
        </w:rPr>
        <w:t> </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一、收入支出决算批复表（见正文附件）。</w:t>
      </w:r>
    </w:p>
    <w:p>
      <w:pPr>
        <w:pStyle w:val="2"/>
        <w:keepNext w:val="0"/>
        <w:keepLines w:val="0"/>
        <w:widowControl/>
        <w:suppressLineNumbers w:val="0"/>
        <w:spacing w:before="450" w:beforeAutospacing="0" w:after="0" w:afterAutospacing="0" w:line="15" w:lineRule="atLeast"/>
        <w:ind w:left="0" w:right="0" w:firstLine="420"/>
      </w:pPr>
      <w:bookmarkStart w:id="32" w:name="_Toc23139_WPSOffice_Level2"/>
      <w:bookmarkEnd w:id="32"/>
      <w:bookmarkStart w:id="33" w:name="_Toc25608_WPSOffice_Level2"/>
      <w:bookmarkEnd w:id="33"/>
      <w:bookmarkStart w:id="34" w:name="_Toc26621_WPSOffice_Level2"/>
      <w:bookmarkEnd w:id="34"/>
      <w:bookmarkStart w:id="35" w:name="_Toc30334_WPSOffice_Level2"/>
      <w:bookmarkEnd w:id="35"/>
      <w:bookmarkStart w:id="36" w:name="_Toc14349_WPSOffice_Level2"/>
      <w:bookmarkEnd w:id="36"/>
      <w:bookmarkStart w:id="37" w:name="_Toc28622_WPSOffice_Level2"/>
      <w:r>
        <w:rPr>
          <w:rFonts w:hint="eastAsia" w:ascii="黑体" w:hAnsi="宋体" w:eastAsia="黑体" w:cs="黑体"/>
          <w:color w:val="434343"/>
          <w:sz w:val="31"/>
          <w:szCs w:val="31"/>
          <w:u w:val="none"/>
          <w:shd w:val="clear" w:fill="FFFFFF"/>
        </w:rPr>
        <w:t>二、</w:t>
      </w:r>
      <w:bookmarkEnd w:id="37"/>
      <w:r>
        <w:rPr>
          <w:rFonts w:hint="eastAsia" w:ascii="黑体" w:hAnsi="宋体" w:eastAsia="黑体" w:cs="黑体"/>
          <w:sz w:val="31"/>
          <w:szCs w:val="31"/>
          <w:shd w:val="clear" w:fill="FFFFFF"/>
        </w:rPr>
        <w:t>收入决算批复表（见正文附件）。</w:t>
      </w:r>
    </w:p>
    <w:p>
      <w:pPr>
        <w:pStyle w:val="2"/>
        <w:keepNext w:val="0"/>
        <w:keepLines w:val="0"/>
        <w:widowControl/>
        <w:suppressLineNumbers w:val="0"/>
        <w:spacing w:before="450" w:beforeAutospacing="0" w:after="0" w:afterAutospacing="0" w:line="15" w:lineRule="atLeast"/>
        <w:ind w:left="0" w:right="0" w:firstLine="420"/>
      </w:pPr>
      <w:bookmarkStart w:id="38" w:name="_Toc3262_WPSOffice_Level2"/>
      <w:bookmarkEnd w:id="38"/>
      <w:bookmarkStart w:id="39" w:name="_Toc17626_WPSOffice_Level2"/>
      <w:bookmarkEnd w:id="39"/>
      <w:bookmarkStart w:id="40" w:name="_Toc17858_WPSOffice_Level2"/>
      <w:bookmarkEnd w:id="40"/>
      <w:bookmarkStart w:id="41" w:name="_Toc13854_WPSOffice_Level2"/>
      <w:bookmarkEnd w:id="41"/>
      <w:bookmarkStart w:id="42" w:name="_Toc14658_WPSOffice_Level2"/>
      <w:bookmarkEnd w:id="42"/>
      <w:bookmarkStart w:id="43" w:name="_Toc5489_WPSOffice_Level2"/>
      <w:r>
        <w:rPr>
          <w:rFonts w:hint="eastAsia" w:ascii="黑体" w:hAnsi="宋体" w:eastAsia="黑体" w:cs="黑体"/>
          <w:color w:val="434343"/>
          <w:sz w:val="31"/>
          <w:szCs w:val="31"/>
          <w:u w:val="none"/>
          <w:shd w:val="clear" w:fill="FFFFFF"/>
        </w:rPr>
        <w:t>三、</w:t>
      </w:r>
      <w:bookmarkEnd w:id="43"/>
      <w:r>
        <w:rPr>
          <w:rFonts w:hint="eastAsia" w:ascii="黑体" w:hAnsi="宋体" w:eastAsia="黑体" w:cs="黑体"/>
          <w:sz w:val="31"/>
          <w:szCs w:val="31"/>
          <w:shd w:val="clear" w:fill="FFFFFF"/>
        </w:rPr>
        <w:t>支出决算批复表（见正文附件）。</w:t>
      </w:r>
    </w:p>
    <w:p>
      <w:pPr>
        <w:pStyle w:val="2"/>
        <w:keepNext w:val="0"/>
        <w:keepLines w:val="0"/>
        <w:widowControl/>
        <w:suppressLineNumbers w:val="0"/>
        <w:spacing w:before="450" w:beforeAutospacing="0" w:after="0" w:afterAutospacing="0" w:line="15" w:lineRule="atLeast"/>
        <w:ind w:left="0" w:right="0" w:firstLine="420"/>
      </w:pPr>
      <w:bookmarkStart w:id="44" w:name="_Toc23591_WPSOffice_Level2"/>
      <w:bookmarkEnd w:id="44"/>
      <w:bookmarkStart w:id="45" w:name="_Toc13701_WPSOffice_Level2"/>
      <w:bookmarkEnd w:id="45"/>
      <w:bookmarkStart w:id="46" w:name="_Toc21415_WPSOffice_Level2"/>
      <w:bookmarkEnd w:id="46"/>
      <w:bookmarkStart w:id="47" w:name="_Toc7988_WPSOffice_Level2"/>
      <w:bookmarkEnd w:id="47"/>
      <w:bookmarkStart w:id="48" w:name="_Toc4265_WPSOffice_Level2"/>
      <w:bookmarkEnd w:id="48"/>
      <w:bookmarkStart w:id="49" w:name="_Toc23493_WPSOffice_Level2"/>
      <w:r>
        <w:rPr>
          <w:rFonts w:hint="eastAsia" w:ascii="黑体" w:hAnsi="宋体" w:eastAsia="黑体" w:cs="黑体"/>
          <w:color w:val="434343"/>
          <w:sz w:val="31"/>
          <w:szCs w:val="31"/>
          <w:u w:val="none"/>
          <w:shd w:val="clear" w:fill="FFFFFF"/>
        </w:rPr>
        <w:t>四</w:t>
      </w:r>
      <w:bookmarkEnd w:id="49"/>
      <w:r>
        <w:rPr>
          <w:rFonts w:hint="eastAsia" w:ascii="黑体" w:hAnsi="宋体" w:eastAsia="黑体" w:cs="黑体"/>
          <w:sz w:val="31"/>
          <w:szCs w:val="31"/>
          <w:shd w:val="clear" w:fill="FFFFFF"/>
        </w:rPr>
        <w:t>、财政拨款收入支出决算批复表（见正文附件）。</w:t>
      </w:r>
    </w:p>
    <w:p>
      <w:pPr>
        <w:pStyle w:val="2"/>
        <w:keepNext w:val="0"/>
        <w:keepLines w:val="0"/>
        <w:widowControl/>
        <w:suppressLineNumbers w:val="0"/>
        <w:spacing w:before="450" w:beforeAutospacing="0" w:after="0" w:afterAutospacing="0" w:line="15" w:lineRule="atLeast"/>
        <w:ind w:left="0" w:right="0" w:firstLine="420"/>
      </w:pPr>
      <w:bookmarkStart w:id="50" w:name="_Toc25166_WPSOffice_Level2"/>
      <w:bookmarkEnd w:id="50"/>
      <w:bookmarkStart w:id="51" w:name="_Toc22783_WPSOffice_Level2"/>
      <w:bookmarkEnd w:id="51"/>
      <w:bookmarkStart w:id="52" w:name="_Toc23829_WPSOffice_Level2"/>
      <w:bookmarkEnd w:id="52"/>
      <w:bookmarkStart w:id="53" w:name="_Toc7879_WPSOffice_Level2"/>
      <w:bookmarkEnd w:id="53"/>
      <w:bookmarkStart w:id="54" w:name="_Toc2158_WPSOffice_Level2"/>
      <w:bookmarkEnd w:id="54"/>
      <w:bookmarkStart w:id="55" w:name="_Toc13516_WPSOffice_Level2"/>
      <w:r>
        <w:rPr>
          <w:rFonts w:hint="eastAsia" w:ascii="黑体" w:hAnsi="宋体" w:eastAsia="黑体" w:cs="黑体"/>
          <w:color w:val="434343"/>
          <w:sz w:val="31"/>
          <w:szCs w:val="31"/>
          <w:u w:val="none"/>
          <w:shd w:val="clear" w:fill="FFFFFF"/>
        </w:rPr>
        <w:t>五、</w:t>
      </w:r>
      <w:bookmarkEnd w:id="55"/>
      <w:r>
        <w:rPr>
          <w:rFonts w:hint="eastAsia" w:ascii="黑体" w:hAnsi="宋体" w:eastAsia="黑体" w:cs="黑体"/>
          <w:sz w:val="31"/>
          <w:szCs w:val="31"/>
          <w:shd w:val="clear" w:fill="FFFFFF"/>
        </w:rPr>
        <w:t>一般公共预算财政拨款收入支出决算批复表</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（见正文附件）。</w:t>
      </w:r>
    </w:p>
    <w:p>
      <w:pPr>
        <w:pStyle w:val="2"/>
        <w:keepNext w:val="0"/>
        <w:keepLines w:val="0"/>
        <w:widowControl/>
        <w:suppressLineNumbers w:val="0"/>
        <w:spacing w:before="450" w:beforeAutospacing="0" w:after="0" w:afterAutospacing="0" w:line="15" w:lineRule="atLeast"/>
        <w:ind w:left="0" w:right="0" w:firstLine="420"/>
      </w:pPr>
      <w:bookmarkStart w:id="56" w:name="_Toc2632_WPSOffice_Level2"/>
      <w:bookmarkEnd w:id="56"/>
      <w:bookmarkStart w:id="57" w:name="_Toc25362_WPSOffice_Level2"/>
      <w:bookmarkEnd w:id="57"/>
      <w:bookmarkStart w:id="58" w:name="_Toc17283_WPSOffice_Level2"/>
      <w:bookmarkEnd w:id="58"/>
      <w:bookmarkStart w:id="59" w:name="_Toc17833_WPSOffice_Level2"/>
      <w:bookmarkEnd w:id="59"/>
      <w:bookmarkStart w:id="60" w:name="_Toc5343_WPSOffice_Level2"/>
      <w:bookmarkEnd w:id="60"/>
      <w:bookmarkStart w:id="61" w:name="_Toc8373_WPSOffice_Level2"/>
      <w:r>
        <w:rPr>
          <w:rFonts w:hint="eastAsia" w:ascii="黑体" w:hAnsi="宋体" w:eastAsia="黑体" w:cs="黑体"/>
          <w:color w:val="434343"/>
          <w:sz w:val="31"/>
          <w:szCs w:val="31"/>
          <w:u w:val="none"/>
          <w:shd w:val="clear" w:fill="FFFFFF"/>
        </w:rPr>
        <w:t>六、</w:t>
      </w:r>
      <w:bookmarkEnd w:id="61"/>
      <w:r>
        <w:rPr>
          <w:rFonts w:hint="eastAsia" w:ascii="黑体" w:hAnsi="宋体" w:eastAsia="黑体" w:cs="黑体"/>
          <w:sz w:val="31"/>
          <w:szCs w:val="31"/>
          <w:shd w:val="clear" w:fill="FFFFFF"/>
        </w:rPr>
        <w:t>一般公共预算财政拨款基本支出决算批复表</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（见正文附件）。</w:t>
      </w:r>
    </w:p>
    <w:p>
      <w:pPr>
        <w:pStyle w:val="2"/>
        <w:keepNext w:val="0"/>
        <w:keepLines w:val="0"/>
        <w:widowControl/>
        <w:suppressLineNumbers w:val="0"/>
        <w:spacing w:before="450" w:beforeAutospacing="0" w:after="0" w:afterAutospacing="0" w:line="15" w:lineRule="atLeast"/>
        <w:ind w:left="0" w:right="0" w:firstLine="420"/>
      </w:pPr>
      <w:bookmarkStart w:id="62" w:name="_Toc21310_WPSOffice_Level2"/>
      <w:r>
        <w:rPr>
          <w:rFonts w:hint="eastAsia" w:ascii="黑体" w:hAnsi="宋体" w:eastAsia="黑体" w:cs="黑体"/>
          <w:color w:val="434343"/>
          <w:sz w:val="31"/>
          <w:szCs w:val="31"/>
          <w:u w:val="none"/>
          <w:shd w:val="clear" w:fill="FFFFFF"/>
        </w:rPr>
        <w:t>七、</w:t>
      </w:r>
      <w:bookmarkEnd w:id="62"/>
      <w:r>
        <w:rPr>
          <w:rFonts w:hint="eastAsia" w:ascii="黑体" w:hAnsi="宋体" w:eastAsia="黑体" w:cs="黑体"/>
          <w:sz w:val="31"/>
          <w:szCs w:val="31"/>
          <w:shd w:val="clear" w:fill="FFFFFF"/>
        </w:rPr>
        <w:t>政府性基金预算财政拨款收入支出决算批复表</w:t>
      </w:r>
    </w:p>
    <w:p>
      <w:pPr>
        <w:pStyle w:val="2"/>
        <w:keepNext w:val="0"/>
        <w:keepLines w:val="0"/>
        <w:widowControl/>
        <w:suppressLineNumbers w:val="0"/>
        <w:spacing w:before="450" w:beforeAutospacing="0" w:after="0" w:afterAutospacing="0" w:line="15" w:lineRule="atLeast"/>
        <w:ind w:left="1276" w:right="0" w:firstLine="420"/>
      </w:pPr>
      <w:r>
        <w:rPr>
          <w:rFonts w:hint="eastAsia" w:ascii="黑体" w:hAnsi="宋体" w:eastAsia="黑体" w:cs="黑体"/>
          <w:sz w:val="31"/>
          <w:szCs w:val="31"/>
          <w:shd w:val="clear" w:fill="FFFFFF"/>
        </w:rPr>
        <w:t>（见正文附件）。</w:t>
      </w:r>
    </w:p>
    <w:p>
      <w:pPr>
        <w:pStyle w:val="2"/>
        <w:keepNext w:val="0"/>
        <w:keepLines w:val="0"/>
        <w:widowControl/>
        <w:suppressLineNumbers w:val="0"/>
        <w:spacing w:before="450" w:beforeAutospacing="0" w:after="0" w:afterAutospacing="0" w:line="15" w:lineRule="atLeast"/>
        <w:ind w:left="0" w:right="0" w:firstLine="420"/>
      </w:pPr>
      <w:bookmarkStart w:id="63" w:name="_Toc9377_WPSOffice_Level2"/>
      <w:bookmarkEnd w:id="63"/>
      <w:bookmarkStart w:id="64" w:name="_Toc1820_WPSOffice_Level2"/>
      <w:r>
        <w:rPr>
          <w:rFonts w:hint="eastAsia" w:ascii="黑体" w:hAnsi="宋体" w:eastAsia="黑体" w:cs="黑体"/>
          <w:color w:val="434343"/>
          <w:sz w:val="31"/>
          <w:szCs w:val="31"/>
          <w:u w:val="none"/>
          <w:shd w:val="clear" w:fill="FFFFFF"/>
        </w:rPr>
        <w:t>八、</w:t>
      </w:r>
      <w:bookmarkEnd w:id="64"/>
      <w:r>
        <w:rPr>
          <w:rFonts w:hint="eastAsia" w:ascii="黑体" w:hAnsi="宋体" w:eastAsia="黑体" w:cs="黑体"/>
          <w:sz w:val="31"/>
          <w:szCs w:val="31"/>
          <w:shd w:val="clear" w:fill="FFFFFF"/>
        </w:rPr>
        <w:t>一般公共预算财政拨款“三公”经费支出决算</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         批复表（见正文附件）。</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九、政府性基金预算财政拨款“三公”经费支出决算</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          批复表（见正文附件）。</w:t>
      </w:r>
    </w:p>
    <w:p>
      <w:pPr>
        <w:pStyle w:val="2"/>
        <w:keepNext w:val="0"/>
        <w:keepLines w:val="0"/>
        <w:widowControl/>
        <w:suppressLineNumbers w:val="0"/>
        <w:spacing w:before="450" w:beforeAutospacing="0" w:after="0" w:afterAutospacing="0" w:line="15" w:lineRule="atLeast"/>
        <w:ind w:left="0" w:right="0" w:firstLine="420"/>
      </w:pPr>
      <w:r>
        <w:rPr>
          <w:rFonts w:hint="eastAsia" w:ascii="楷体" w:hAnsi="楷体" w:eastAsia="楷体" w:cs="楷体"/>
          <w:sz w:val="31"/>
          <w:szCs w:val="31"/>
          <w:shd w:val="clear" w:fill="FFFFFF"/>
        </w:rPr>
        <w:t> </w:t>
      </w:r>
    </w:p>
    <w:p>
      <w:pPr>
        <w:pStyle w:val="2"/>
        <w:keepNext w:val="0"/>
        <w:keepLines w:val="0"/>
        <w:widowControl/>
        <w:suppressLineNumbers w:val="0"/>
        <w:spacing w:before="450" w:beforeAutospacing="0" w:after="0" w:afterAutospacing="0" w:line="15" w:lineRule="atLeast"/>
        <w:ind w:left="0" w:right="0" w:firstLine="420"/>
        <w:jc w:val="center"/>
      </w:pPr>
      <w:bookmarkStart w:id="65" w:name="_Toc29683_WPSOffice_Level1"/>
      <w:bookmarkEnd w:id="65"/>
      <w:bookmarkStart w:id="66" w:name="_Toc16686_WPSOffice_Level1"/>
      <w:bookmarkEnd w:id="66"/>
      <w:bookmarkStart w:id="67" w:name="_Toc28629_WPSOffice_Level1"/>
      <w:bookmarkEnd w:id="67"/>
      <w:bookmarkStart w:id="68" w:name="_Toc4402_WPSOffice_Level1"/>
      <w:bookmarkEnd w:id="68"/>
      <w:bookmarkStart w:id="69" w:name="_Toc31264_WPSOffice_Level1"/>
      <w:bookmarkEnd w:id="69"/>
      <w:bookmarkStart w:id="70" w:name="_Toc27590_WPSOffice_Level1"/>
      <w:r>
        <w:rPr>
          <w:rFonts w:hint="eastAsia" w:ascii="黑体" w:hAnsi="宋体" w:eastAsia="黑体" w:cs="黑体"/>
          <w:color w:val="434343"/>
          <w:sz w:val="31"/>
          <w:szCs w:val="31"/>
          <w:u w:val="none"/>
          <w:shd w:val="clear" w:fill="FFFFFF"/>
        </w:rPr>
        <w:t>第三部分</w:t>
      </w:r>
      <w:bookmarkEnd w:id="70"/>
      <w:r>
        <w:rPr>
          <w:rFonts w:hint="eastAsia" w:ascii="黑体" w:hAnsi="宋体" w:eastAsia="黑体" w:cs="黑体"/>
          <w:sz w:val="31"/>
          <w:szCs w:val="31"/>
          <w:shd w:val="clear" w:fill="FFFFFF"/>
        </w:rPr>
        <w:t> 临高县退役军人事务局部门2019年度部门决算情况说明</w:t>
      </w:r>
    </w:p>
    <w:p>
      <w:pPr>
        <w:pStyle w:val="2"/>
        <w:keepNext w:val="0"/>
        <w:keepLines w:val="0"/>
        <w:widowControl/>
        <w:suppressLineNumbers w:val="0"/>
        <w:spacing w:before="450" w:beforeAutospacing="0" w:after="0" w:afterAutospacing="0" w:line="15" w:lineRule="atLeast"/>
        <w:ind w:left="0" w:right="0" w:firstLine="420"/>
        <w:jc w:val="center"/>
      </w:pPr>
      <w:r>
        <w:rPr>
          <w:rFonts w:hint="eastAsia" w:ascii="黑体" w:hAnsi="宋体" w:eastAsia="黑体" w:cs="黑体"/>
          <w:sz w:val="31"/>
          <w:szCs w:val="31"/>
          <w:shd w:val="clear" w:fill="FFFFFF"/>
        </w:rPr>
        <w:t> </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一、收入支出决算总体情况说明</w:t>
      </w:r>
      <w:r>
        <w:rPr>
          <w:rFonts w:hint="eastAsia" w:ascii="黑体" w:hAnsi="宋体" w:eastAsia="黑体" w:cs="黑体"/>
          <w:sz w:val="31"/>
          <w:szCs w:val="31"/>
          <w:shd w:val="clear" w:fill="FFFFFF"/>
        </w:rPr>
        <w:br w:type="textWrapping"/>
      </w:r>
      <w:r>
        <w:rPr>
          <w:rFonts w:hint="default" w:ascii="仿宋_GB2312" w:eastAsia="仿宋_GB2312" w:cs="仿宋_GB2312"/>
          <w:sz w:val="31"/>
          <w:szCs w:val="31"/>
          <w:shd w:val="clear" w:fill="FFFFFF"/>
        </w:rPr>
        <w:t>2019年度收、支总计369.02万元，与2018年度相比，收入、支出总计各增加(减少)0万元，增长（下降）0%。主要原因：我局是2019年新成立的部门。用事业基金弥补收支差额0万元，较2018年度决算数增加（减少）0万元。年初结转结余0万元，主要原因是我局是2019年新成立的部门。结余分配0万元。年末结转结余0万元。</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   （2019年度相关决算数据，可取自附件财决批复01表；2018年度相关决算数据可取自2018年度部门决算报表财决01表《收入支出决算总表》。）</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二、收入决算情况说明</w:t>
      </w:r>
      <w:r>
        <w:rPr>
          <w:rFonts w:hint="eastAsia" w:ascii="黑体" w:hAnsi="宋体" w:eastAsia="黑体" w:cs="黑体"/>
          <w:sz w:val="31"/>
          <w:szCs w:val="31"/>
          <w:shd w:val="clear" w:fill="FFFFFF"/>
        </w:rPr>
        <w:br w:type="textWrapping"/>
      </w:r>
      <w:r>
        <w:rPr>
          <w:rFonts w:hint="default" w:ascii="仿宋_GB2312" w:eastAsia="仿宋_GB2312" w:cs="仿宋_GB2312"/>
          <w:sz w:val="31"/>
          <w:szCs w:val="31"/>
          <w:shd w:val="clear" w:fill="FFFFFF"/>
        </w:rPr>
        <w:t>    本年收入合计369.02万元，其中：财政拨款收入369.02万元，占100%；上级补助收入0万元，占0%；事业收入0万元，占0%；经营收入0万元，占0%；附属单位上缴收入0万元，占0%；其他收入0万元，占0%。</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三、支出决算情况说明</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本年支出合计369.02万元，其中：基本支出25.18万元，占6.8%；项目支出343.84万元，占93.2%；上缴上级支出0万元，占0%；经营支出0万元，占0%；对附属单位补助支出0万元，占0%。</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四、财政拨款收入支出决算总体情况说明</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2019年度财政拨款收入、支出总计369.02万元。较2018年度相比</w:t>
      </w:r>
      <w:r>
        <w:rPr>
          <w:rFonts w:hint="eastAsia" w:ascii="仿宋_GB2312" w:eastAsia="仿宋_GB2312" w:cs="仿宋_GB2312"/>
          <w:sz w:val="31"/>
          <w:szCs w:val="31"/>
          <w:shd w:val="clear" w:fill="FFFFFF"/>
          <w:lang w:eastAsia="zh-CN"/>
        </w:rPr>
        <w:t>数据为</w:t>
      </w:r>
      <w:r>
        <w:rPr>
          <w:rFonts w:hint="eastAsia" w:ascii="仿宋_GB2312" w:eastAsia="仿宋_GB2312" w:cs="仿宋_GB2312"/>
          <w:sz w:val="31"/>
          <w:szCs w:val="31"/>
          <w:shd w:val="clear" w:fill="FFFFFF"/>
          <w:lang w:val="en-US" w:eastAsia="zh-CN"/>
        </w:rPr>
        <w:t>0万元</w:t>
      </w:r>
      <w:r>
        <w:rPr>
          <w:rFonts w:hint="default" w:ascii="仿宋_GB2312" w:eastAsia="仿宋_GB2312" w:cs="仿宋_GB2312"/>
          <w:sz w:val="31"/>
          <w:szCs w:val="31"/>
          <w:shd w:val="clear" w:fill="FFFFFF"/>
        </w:rPr>
        <w:t>，主要原因：我局是2019年新成立的部门。</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财政拨款年初结转结余0万元，我局是2019年新成立的部门。</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财政拨款年末结转结余0万元，较2018年度年末决算数0万元，主要原因是我局是2019年新成立的部门。</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五、一般公共预算财政拨款支出决算情况说明</w:t>
      </w:r>
    </w:p>
    <w:p>
      <w:pPr>
        <w:pStyle w:val="2"/>
        <w:keepNext w:val="0"/>
        <w:keepLines w:val="0"/>
        <w:widowControl/>
        <w:suppressLineNumbers w:val="0"/>
        <w:spacing w:before="450" w:beforeAutospacing="0" w:after="0" w:afterAutospacing="0" w:line="15" w:lineRule="atLeast"/>
        <w:ind w:left="0" w:right="0" w:firstLine="420"/>
      </w:pPr>
      <w:bookmarkStart w:id="71" w:name="_Toc13694_WPSOffice_Level2"/>
      <w:bookmarkEnd w:id="71"/>
      <w:bookmarkStart w:id="72" w:name="_Toc17398_WPSOffice_Level2"/>
      <w:bookmarkEnd w:id="72"/>
      <w:bookmarkStart w:id="73" w:name="_Toc19665_WPSOffice_Level2"/>
      <w:bookmarkEnd w:id="73"/>
      <w:bookmarkStart w:id="74" w:name="_Toc23005_WPSOffice_Level2"/>
      <w:bookmarkEnd w:id="74"/>
      <w:bookmarkStart w:id="75" w:name="_Toc9989_WPSOffice_Level2"/>
      <w:bookmarkEnd w:id="75"/>
      <w:bookmarkStart w:id="76" w:name="_Toc21737_WPSOffice_Level2"/>
      <w:r>
        <w:rPr>
          <w:rFonts w:hint="eastAsia" w:ascii="楷体" w:hAnsi="楷体" w:eastAsia="楷体" w:cs="楷体"/>
          <w:color w:val="434343"/>
          <w:sz w:val="31"/>
          <w:szCs w:val="31"/>
          <w:u w:val="none"/>
          <w:shd w:val="clear" w:fill="FFFFFF"/>
        </w:rPr>
        <w:t>（一）</w:t>
      </w:r>
      <w:bookmarkEnd w:id="76"/>
      <w:r>
        <w:rPr>
          <w:rFonts w:hint="eastAsia" w:ascii="楷体" w:hAnsi="楷体" w:eastAsia="楷体" w:cs="楷体"/>
          <w:sz w:val="31"/>
          <w:szCs w:val="31"/>
          <w:shd w:val="clear" w:fill="FFFFFF"/>
        </w:rPr>
        <w:t>一般公共预算财政拨款支出决算总体情况。</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2019年度一般公共预算财政拨款支出369.02万元，占本年支出合计的100%。我局是2019年新成立的部门。</w:t>
      </w:r>
    </w:p>
    <w:p>
      <w:pPr>
        <w:pStyle w:val="2"/>
        <w:keepNext w:val="0"/>
        <w:keepLines w:val="0"/>
        <w:widowControl/>
        <w:suppressLineNumbers w:val="0"/>
        <w:spacing w:before="450" w:beforeAutospacing="0" w:after="0" w:afterAutospacing="0" w:line="15" w:lineRule="atLeast"/>
        <w:ind w:left="0" w:right="0" w:firstLine="420"/>
      </w:pPr>
      <w:bookmarkStart w:id="77" w:name="_Toc18793_WPSOffice_Level2"/>
      <w:bookmarkEnd w:id="77"/>
      <w:bookmarkStart w:id="78" w:name="_Toc2711_WPSOffice_Level2"/>
      <w:bookmarkEnd w:id="78"/>
      <w:bookmarkStart w:id="79" w:name="_Toc19075_WPSOffice_Level2"/>
      <w:bookmarkEnd w:id="79"/>
      <w:bookmarkStart w:id="80" w:name="_Toc23864_WPSOffice_Level2"/>
      <w:bookmarkEnd w:id="80"/>
      <w:bookmarkStart w:id="81" w:name="_Toc27767_WPSOffice_Level2"/>
      <w:bookmarkEnd w:id="81"/>
      <w:bookmarkStart w:id="82" w:name="_Toc19535_WPSOffice_Level2"/>
      <w:r>
        <w:rPr>
          <w:rFonts w:hint="eastAsia" w:ascii="楷体" w:hAnsi="楷体" w:eastAsia="楷体" w:cs="楷体"/>
          <w:color w:val="434343"/>
          <w:sz w:val="31"/>
          <w:szCs w:val="31"/>
          <w:u w:val="none"/>
          <w:shd w:val="clear" w:fill="FFFFFF"/>
        </w:rPr>
        <w:t>（二）一般公共预算</w:t>
      </w:r>
      <w:bookmarkEnd w:id="82"/>
      <w:r>
        <w:rPr>
          <w:rFonts w:hint="eastAsia" w:ascii="楷体" w:hAnsi="楷体" w:eastAsia="楷体" w:cs="楷体"/>
          <w:sz w:val="31"/>
          <w:szCs w:val="31"/>
          <w:shd w:val="clear" w:fill="FFFFFF"/>
        </w:rPr>
        <w:t>财政拨款支出决算结构情况。</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2019年度一般公共预算财政拨款支出369.02万元，主要用于以下方面：</w:t>
      </w:r>
      <w:r>
        <w:rPr>
          <w:rStyle w:val="5"/>
          <w:rFonts w:hint="default" w:ascii="仿宋_GB2312" w:eastAsia="仿宋_GB2312" w:cs="仿宋_GB2312"/>
          <w:sz w:val="31"/>
          <w:szCs w:val="31"/>
          <w:shd w:val="clear" w:fill="FFFFFF"/>
        </w:rPr>
        <w:t>一般公共服务（类）</w:t>
      </w:r>
      <w:r>
        <w:rPr>
          <w:rFonts w:hint="default" w:ascii="仿宋_GB2312" w:eastAsia="仿宋_GB2312" w:cs="仿宋_GB2312"/>
          <w:sz w:val="31"/>
          <w:szCs w:val="31"/>
          <w:shd w:val="clear" w:fill="FFFFFF"/>
        </w:rPr>
        <w:t>支出7.46万元，占2%；</w:t>
      </w:r>
      <w:r>
        <w:rPr>
          <w:rStyle w:val="5"/>
          <w:rFonts w:hint="default" w:ascii="仿宋_GB2312" w:eastAsia="仿宋_GB2312" w:cs="仿宋_GB2312"/>
          <w:sz w:val="31"/>
          <w:szCs w:val="31"/>
          <w:shd w:val="clear" w:fill="FFFFFF"/>
        </w:rPr>
        <w:t>社会保障和就业（类）</w:t>
      </w:r>
      <w:r>
        <w:rPr>
          <w:rFonts w:hint="default" w:ascii="仿宋_GB2312" w:eastAsia="仿宋_GB2312" w:cs="仿宋_GB2312"/>
          <w:sz w:val="31"/>
          <w:szCs w:val="31"/>
          <w:shd w:val="clear" w:fill="FFFFFF"/>
        </w:rPr>
        <w:t>支出360.09万元，占97.6%；</w:t>
      </w:r>
      <w:r>
        <w:rPr>
          <w:rStyle w:val="5"/>
          <w:rFonts w:hint="default" w:ascii="仿宋_GB2312" w:eastAsia="仿宋_GB2312" w:cs="仿宋_GB2312"/>
          <w:sz w:val="31"/>
          <w:szCs w:val="31"/>
          <w:shd w:val="clear" w:fill="FFFFFF"/>
        </w:rPr>
        <w:t>农林水（类）</w:t>
      </w:r>
      <w:r>
        <w:rPr>
          <w:rFonts w:hint="default" w:ascii="仿宋_GB2312" w:eastAsia="仿宋_GB2312" w:cs="仿宋_GB2312"/>
          <w:sz w:val="31"/>
          <w:szCs w:val="31"/>
          <w:shd w:val="clear" w:fill="FFFFFF"/>
        </w:rPr>
        <w:t>支出1.47万元，占0.04%。</w:t>
      </w:r>
    </w:p>
    <w:p>
      <w:pPr>
        <w:pStyle w:val="2"/>
        <w:keepNext w:val="0"/>
        <w:keepLines w:val="0"/>
        <w:widowControl/>
        <w:suppressLineNumbers w:val="0"/>
        <w:spacing w:before="450" w:beforeAutospacing="0" w:after="0" w:afterAutospacing="0" w:line="15" w:lineRule="atLeast"/>
        <w:ind w:left="0" w:right="0" w:firstLine="420"/>
      </w:pPr>
      <w:bookmarkStart w:id="83" w:name="_Toc29364_WPSOffice_Level2"/>
      <w:bookmarkEnd w:id="83"/>
      <w:bookmarkStart w:id="84" w:name="_Toc15415_WPSOffice_Level2"/>
      <w:bookmarkEnd w:id="84"/>
      <w:bookmarkStart w:id="85" w:name="_Toc25136_WPSOffice_Level2"/>
      <w:bookmarkEnd w:id="85"/>
      <w:bookmarkStart w:id="86" w:name="_Toc21701_WPSOffice_Level2"/>
      <w:bookmarkEnd w:id="86"/>
      <w:bookmarkStart w:id="87" w:name="_Toc22318_WPSOffice_Level2"/>
      <w:bookmarkEnd w:id="87"/>
      <w:bookmarkStart w:id="88" w:name="_Toc9502_WPSOffice_Level2"/>
      <w:r>
        <w:rPr>
          <w:rFonts w:hint="eastAsia" w:ascii="楷体" w:hAnsi="楷体" w:eastAsia="楷体" w:cs="楷体"/>
          <w:color w:val="434343"/>
          <w:sz w:val="31"/>
          <w:szCs w:val="31"/>
          <w:u w:val="none"/>
          <w:shd w:val="clear" w:fill="FFFFFF"/>
        </w:rPr>
        <w:t>（三）一般公共预算</w:t>
      </w:r>
      <w:bookmarkEnd w:id="88"/>
      <w:r>
        <w:rPr>
          <w:rFonts w:hint="eastAsia" w:ascii="楷体" w:hAnsi="楷体" w:eastAsia="楷体" w:cs="楷体"/>
          <w:sz w:val="31"/>
          <w:szCs w:val="31"/>
          <w:shd w:val="clear" w:fill="FFFFFF"/>
        </w:rPr>
        <w:t>财政拨款支出决算具体情况。</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2019年度财政拨款支出年初预算为369.02万元，支出决算为1026.43万元，完成年初预算的100%。其中：</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1.</w:t>
      </w:r>
      <w:r>
        <w:rPr>
          <w:rStyle w:val="5"/>
          <w:rFonts w:hint="default" w:ascii="仿宋_GB2312" w:eastAsia="仿宋_GB2312" w:cs="仿宋_GB2312"/>
          <w:sz w:val="31"/>
          <w:szCs w:val="31"/>
          <w:shd w:val="clear" w:fill="FFFFFF"/>
        </w:rPr>
        <w:t>一般公共服务（类）</w:t>
      </w:r>
      <w:r>
        <w:rPr>
          <w:rFonts w:hint="default" w:ascii="仿宋_GB2312" w:eastAsia="仿宋_GB2312" w:cs="仿宋_GB2312"/>
          <w:sz w:val="31"/>
          <w:szCs w:val="31"/>
          <w:shd w:val="clear" w:fill="FFFFFF"/>
        </w:rPr>
        <w:t>支出7.46万元，</w:t>
      </w:r>
      <w:r>
        <w:rPr>
          <w:rFonts w:hint="eastAsia" w:ascii="仿宋" w:hAnsi="仿宋" w:eastAsia="仿宋" w:cs="仿宋"/>
          <w:sz w:val="31"/>
          <w:szCs w:val="31"/>
          <w:shd w:val="clear" w:fill="FFFFFF"/>
        </w:rPr>
        <w:t>支出决算为7.46万元，完成年初预算的100%。</w:t>
      </w:r>
      <w:r>
        <w:rPr>
          <w:rStyle w:val="5"/>
          <w:rFonts w:hint="default" w:ascii="仿宋_GB2312" w:eastAsia="仿宋_GB2312" w:cs="仿宋_GB2312"/>
          <w:sz w:val="31"/>
          <w:szCs w:val="31"/>
          <w:shd w:val="clear" w:fill="FFFFFF"/>
        </w:rPr>
        <w:t>社会保障和就业（类）</w:t>
      </w:r>
      <w:r>
        <w:rPr>
          <w:rFonts w:hint="default" w:ascii="仿宋_GB2312" w:eastAsia="仿宋_GB2312" w:cs="仿宋_GB2312"/>
          <w:sz w:val="31"/>
          <w:szCs w:val="31"/>
          <w:shd w:val="clear" w:fill="FFFFFF"/>
        </w:rPr>
        <w:t>支出360.09万元，</w:t>
      </w:r>
      <w:r>
        <w:rPr>
          <w:rFonts w:hint="eastAsia" w:ascii="仿宋" w:hAnsi="仿宋" w:eastAsia="仿宋" w:cs="仿宋"/>
          <w:sz w:val="31"/>
          <w:szCs w:val="31"/>
          <w:shd w:val="clear" w:fill="FFFFFF"/>
        </w:rPr>
        <w:t>完成年初预算的100%。</w:t>
      </w:r>
      <w:r>
        <w:rPr>
          <w:rStyle w:val="5"/>
          <w:rFonts w:hint="default" w:ascii="仿宋_GB2312" w:eastAsia="仿宋_GB2312" w:cs="仿宋_GB2312"/>
          <w:sz w:val="31"/>
          <w:szCs w:val="31"/>
          <w:shd w:val="clear" w:fill="FFFFFF"/>
        </w:rPr>
        <w:t>农林水（类）支出1.5万元，</w:t>
      </w:r>
      <w:r>
        <w:rPr>
          <w:rFonts w:hint="eastAsia" w:ascii="仿宋" w:hAnsi="仿宋" w:eastAsia="仿宋" w:cs="仿宋"/>
          <w:sz w:val="31"/>
          <w:szCs w:val="31"/>
          <w:shd w:val="clear" w:fill="FFFFFF"/>
        </w:rPr>
        <w:t>完成年初预算的100%。</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六、一般公共预算财政拨款基本支出决算情况说明。</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财政拨款基本支出25.18万元，其中：人员经费14.23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10.95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七、政府性基金预算财政拨款收入支出决算情况说明</w:t>
      </w:r>
    </w:p>
    <w:p>
      <w:pPr>
        <w:pStyle w:val="2"/>
        <w:keepNext w:val="0"/>
        <w:keepLines w:val="0"/>
        <w:widowControl/>
        <w:suppressLineNumbers w:val="0"/>
        <w:spacing w:before="0" w:beforeAutospacing="0" w:after="274" w:afterAutospacing="0" w:line="15" w:lineRule="atLeast"/>
        <w:ind w:left="0" w:right="0" w:firstLine="634"/>
        <w:jc w:val="left"/>
        <w:rPr>
          <w:sz w:val="24"/>
          <w:szCs w:val="24"/>
        </w:rPr>
      </w:pPr>
      <w:r>
        <w:rPr>
          <w:rFonts w:hint="eastAsia" w:ascii="仿宋" w:eastAsia="仿宋" w:cs="仿宋"/>
          <w:sz w:val="32"/>
          <w:szCs w:val="32"/>
          <w:shd w:val="clear" w:fill="FFFFFF"/>
        </w:rPr>
        <w:t>（一）2019年度政府性基金预算财政拨款收入0.00万元，较2018年度无变化。</w:t>
      </w:r>
    </w:p>
    <w:p>
      <w:pPr>
        <w:pStyle w:val="2"/>
        <w:keepNext w:val="0"/>
        <w:keepLines w:val="0"/>
        <w:widowControl/>
        <w:suppressLineNumbers w:val="0"/>
        <w:spacing w:before="0" w:beforeAutospacing="0" w:after="274" w:afterAutospacing="0" w:line="15" w:lineRule="atLeast"/>
        <w:ind w:left="0" w:right="0" w:firstLine="634"/>
        <w:jc w:val="left"/>
        <w:rPr>
          <w:sz w:val="24"/>
          <w:szCs w:val="24"/>
        </w:rPr>
      </w:pPr>
      <w:r>
        <w:rPr>
          <w:rFonts w:hint="eastAsia" w:ascii="仿宋" w:eastAsia="仿宋" w:cs="仿宋"/>
          <w:sz w:val="32"/>
          <w:szCs w:val="32"/>
          <w:shd w:val="clear" w:fill="FFFFFF"/>
        </w:rPr>
        <w:t>（二）2019年度政府性基金预算财政拨款支出0.00万元，较2018年度无变化。</w:t>
      </w:r>
    </w:p>
    <w:p>
      <w:pPr>
        <w:pStyle w:val="2"/>
        <w:keepNext w:val="0"/>
        <w:keepLines w:val="0"/>
        <w:widowControl/>
        <w:suppressLineNumbers w:val="0"/>
        <w:spacing w:before="0" w:beforeAutospacing="0" w:after="274" w:afterAutospacing="0" w:line="15" w:lineRule="atLeast"/>
        <w:ind w:left="0" w:right="0" w:firstLine="634"/>
        <w:jc w:val="left"/>
        <w:rPr>
          <w:sz w:val="24"/>
          <w:szCs w:val="24"/>
        </w:rPr>
      </w:pPr>
      <w:r>
        <w:rPr>
          <w:rFonts w:hint="eastAsia" w:ascii="仿宋" w:eastAsia="仿宋" w:cs="仿宋"/>
          <w:sz w:val="32"/>
          <w:szCs w:val="32"/>
          <w:shd w:val="clear" w:fill="FFFFFF"/>
        </w:rPr>
        <w:t>（三）2019年度财政拨款支出年初预算为0万元，支出决算为0.00万元，完成年初预算的0%。</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八、一般公共预算财政拨款“三公”经费支出决算情况说明</w:t>
      </w:r>
    </w:p>
    <w:p>
      <w:pPr>
        <w:pStyle w:val="2"/>
        <w:keepNext w:val="0"/>
        <w:keepLines w:val="0"/>
        <w:widowControl/>
        <w:suppressLineNumbers w:val="0"/>
        <w:spacing w:before="450" w:beforeAutospacing="0" w:after="0" w:afterAutospacing="0" w:line="15" w:lineRule="atLeast"/>
        <w:ind w:left="0" w:right="0" w:firstLine="420"/>
      </w:pPr>
      <w:r>
        <w:rPr>
          <w:rStyle w:val="5"/>
          <w:rFonts w:hint="eastAsia" w:ascii="楷体" w:hAnsi="楷体" w:eastAsia="楷体" w:cs="楷体"/>
          <w:sz w:val="31"/>
          <w:szCs w:val="31"/>
          <w:shd w:val="clear" w:fill="FFFFFF"/>
        </w:rPr>
        <w:t>（一）一般公共预算财政拨款“三公”经费支出决算总体情况说明。</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    2019年度一般公共预算财政拨款“三公”经费支出预算为0万元，支出决算为0.07万元，完成预算的100%。</w:t>
      </w:r>
    </w:p>
    <w:p>
      <w:pPr>
        <w:pStyle w:val="2"/>
        <w:keepNext w:val="0"/>
        <w:keepLines w:val="0"/>
        <w:widowControl/>
        <w:suppressLineNumbers w:val="0"/>
        <w:spacing w:before="450" w:beforeAutospacing="0" w:after="0" w:afterAutospacing="0" w:line="15" w:lineRule="atLeast"/>
        <w:ind w:left="0" w:right="0" w:firstLine="420"/>
      </w:pPr>
      <w:r>
        <w:rPr>
          <w:rStyle w:val="5"/>
          <w:rFonts w:hint="eastAsia" w:ascii="楷体" w:hAnsi="楷体" w:eastAsia="楷体" w:cs="楷体"/>
          <w:sz w:val="31"/>
          <w:szCs w:val="31"/>
          <w:shd w:val="clear" w:fill="FFFFFF"/>
        </w:rPr>
        <w:t>    （二）一般公共预算“三公”经费财政拨款支出决算具体情况说明。</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2019年度一般公共预算财政拨款“三公”经费支出决算中，因公出国（境）费支出决算0万元，占0%；公务用车购置及运行费支出决算0万元，占0%；公务接待费支出决算0.07万元，占100%。具体情况如下：</w:t>
      </w:r>
    </w:p>
    <w:p>
      <w:pPr>
        <w:pStyle w:val="2"/>
        <w:keepNext w:val="0"/>
        <w:keepLines w:val="0"/>
        <w:widowControl/>
        <w:suppressLineNumbers w:val="0"/>
        <w:spacing w:before="450" w:beforeAutospacing="0" w:after="0" w:afterAutospacing="0" w:line="15" w:lineRule="atLeast"/>
        <w:ind w:left="0" w:right="0" w:firstLine="420"/>
      </w:pPr>
      <w:r>
        <w:rPr>
          <w:rStyle w:val="5"/>
          <w:rFonts w:hint="default" w:ascii="仿宋_GB2312" w:eastAsia="仿宋_GB2312" w:cs="仿宋_GB2312"/>
          <w:sz w:val="31"/>
          <w:szCs w:val="31"/>
          <w:shd w:val="clear" w:fill="FFFFFF"/>
        </w:rPr>
        <w:t>1.因公出国（境）费</w:t>
      </w:r>
      <w:r>
        <w:rPr>
          <w:rFonts w:hint="default" w:ascii="仿宋_GB2312" w:eastAsia="仿宋_GB2312" w:cs="仿宋_GB2312"/>
          <w:sz w:val="31"/>
          <w:szCs w:val="31"/>
          <w:shd w:val="clear" w:fill="FFFFFF"/>
        </w:rPr>
        <w:t>支出0万元。全年安排因公出国（境）团组0个，因公出国（境）0人次。</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因公出国（境）费支出决算比预算数增加（减少）0万元，增长（下降）0%。</w:t>
      </w:r>
    </w:p>
    <w:p>
      <w:pPr>
        <w:pStyle w:val="2"/>
        <w:keepNext w:val="0"/>
        <w:keepLines w:val="0"/>
        <w:widowControl/>
        <w:suppressLineNumbers w:val="0"/>
        <w:spacing w:before="450" w:beforeAutospacing="0" w:after="0" w:afterAutospacing="0" w:line="15" w:lineRule="atLeast"/>
        <w:ind w:left="0" w:right="0" w:firstLine="420"/>
      </w:pPr>
      <w:r>
        <w:rPr>
          <w:rStyle w:val="5"/>
          <w:rFonts w:hint="default" w:ascii="仿宋_GB2312" w:eastAsia="仿宋_GB2312" w:cs="仿宋_GB2312"/>
          <w:sz w:val="31"/>
          <w:szCs w:val="31"/>
          <w:shd w:val="clear" w:fill="FFFFFF"/>
        </w:rPr>
        <w:t>    2.公务用车购置及运行费支出</w:t>
      </w:r>
      <w:r>
        <w:rPr>
          <w:rFonts w:hint="default" w:ascii="仿宋_GB2312" w:eastAsia="仿宋_GB2312" w:cs="仿宋_GB2312"/>
          <w:sz w:val="31"/>
          <w:szCs w:val="31"/>
          <w:shd w:val="clear" w:fill="FFFFFF"/>
        </w:rPr>
        <w:t>0万元。</w:t>
      </w:r>
    </w:p>
    <w:p>
      <w:pPr>
        <w:pStyle w:val="2"/>
        <w:keepNext w:val="0"/>
        <w:keepLines w:val="0"/>
        <w:widowControl/>
        <w:suppressLineNumbers w:val="0"/>
        <w:spacing w:before="450" w:beforeAutospacing="0" w:after="0" w:afterAutospacing="0" w:line="15" w:lineRule="atLeast"/>
        <w:ind w:left="0" w:right="0" w:firstLine="420"/>
      </w:pPr>
      <w:r>
        <w:rPr>
          <w:rStyle w:val="5"/>
          <w:rFonts w:hint="default" w:ascii="仿宋_GB2312" w:eastAsia="仿宋_GB2312" w:cs="仿宋_GB2312"/>
          <w:sz w:val="31"/>
          <w:szCs w:val="31"/>
          <w:shd w:val="clear" w:fill="FFFFFF"/>
        </w:rPr>
        <w:t>公务用车购置支出</w:t>
      </w:r>
      <w:r>
        <w:rPr>
          <w:rFonts w:hint="default" w:ascii="仿宋_GB2312" w:eastAsia="仿宋_GB2312" w:cs="仿宋_GB2312"/>
          <w:sz w:val="31"/>
          <w:szCs w:val="31"/>
          <w:shd w:val="clear" w:fill="FFFFFF"/>
        </w:rPr>
        <w:t>0万元，全年购置公务用车0辆，年末公务用车保有量0辆。</w:t>
      </w:r>
    </w:p>
    <w:p>
      <w:pPr>
        <w:pStyle w:val="2"/>
        <w:keepNext w:val="0"/>
        <w:keepLines w:val="0"/>
        <w:widowControl/>
        <w:suppressLineNumbers w:val="0"/>
        <w:spacing w:before="450" w:beforeAutospacing="0" w:after="0" w:afterAutospacing="0" w:line="15" w:lineRule="atLeast"/>
        <w:ind w:left="0" w:right="0" w:firstLine="420"/>
      </w:pPr>
      <w:r>
        <w:rPr>
          <w:rStyle w:val="5"/>
          <w:rFonts w:hint="default" w:ascii="仿宋_GB2312" w:eastAsia="仿宋_GB2312" w:cs="仿宋_GB2312"/>
          <w:sz w:val="31"/>
          <w:szCs w:val="31"/>
          <w:shd w:val="clear" w:fill="FFFFFF"/>
        </w:rPr>
        <w:t>公务用车运行维护费</w:t>
      </w:r>
      <w:r>
        <w:rPr>
          <w:rFonts w:hint="default" w:ascii="仿宋_GB2312" w:eastAsia="仿宋_GB2312" w:cs="仿宋_GB2312"/>
          <w:sz w:val="31"/>
          <w:szCs w:val="31"/>
          <w:shd w:val="clear" w:fill="FFFFFF"/>
        </w:rPr>
        <w:t>支出0万元。</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公务用车购置及运行费支出决算比预算数增加（减少）0万元，增长（下降）0%。</w:t>
      </w:r>
    </w:p>
    <w:p>
      <w:pPr>
        <w:pStyle w:val="2"/>
        <w:keepNext w:val="0"/>
        <w:keepLines w:val="0"/>
        <w:widowControl/>
        <w:suppressLineNumbers w:val="0"/>
        <w:spacing w:before="450" w:beforeAutospacing="0" w:after="0" w:afterAutospacing="0" w:line="15" w:lineRule="atLeast"/>
        <w:ind w:left="0" w:right="0" w:firstLine="420"/>
      </w:pPr>
      <w:r>
        <w:rPr>
          <w:rStyle w:val="5"/>
          <w:rFonts w:hint="default" w:ascii="仿宋_GB2312" w:eastAsia="仿宋_GB2312" w:cs="仿宋_GB2312"/>
          <w:sz w:val="31"/>
          <w:szCs w:val="31"/>
          <w:shd w:val="clear" w:fill="FFFFFF"/>
        </w:rPr>
        <w:t>    3.公务接待费支出</w:t>
      </w:r>
      <w:r>
        <w:rPr>
          <w:rFonts w:hint="default" w:ascii="仿宋_GB2312" w:eastAsia="仿宋_GB2312" w:cs="仿宋_GB2312"/>
          <w:sz w:val="31"/>
          <w:szCs w:val="31"/>
          <w:shd w:val="clear" w:fill="FFFFFF"/>
        </w:rPr>
        <w:t>0.07万元，其中：</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公务接待费支出决算比预算数增加0.07万元，增长（下降）%。主要原因是我局是2019年新成立部门。</w:t>
      </w:r>
    </w:p>
    <w:p>
      <w:pPr>
        <w:pStyle w:val="2"/>
        <w:keepNext w:val="0"/>
        <w:keepLines w:val="0"/>
        <w:widowControl/>
        <w:suppressLineNumbers w:val="0"/>
        <w:spacing w:before="450" w:beforeAutospacing="0" w:after="0" w:afterAutospacing="0" w:line="15" w:lineRule="atLeast"/>
        <w:ind w:left="0" w:right="0" w:firstLine="420"/>
      </w:pPr>
      <w:r>
        <w:rPr>
          <w:rStyle w:val="5"/>
          <w:rFonts w:hint="default" w:ascii="仿宋_GB2312" w:eastAsia="仿宋_GB2312" w:cs="仿宋_GB2312"/>
          <w:sz w:val="31"/>
          <w:szCs w:val="31"/>
          <w:shd w:val="clear" w:fill="FFFFFF"/>
        </w:rPr>
        <w:t>国内接待费</w:t>
      </w:r>
      <w:r>
        <w:rPr>
          <w:rFonts w:hint="default" w:ascii="仿宋_GB2312" w:eastAsia="仿宋_GB2312" w:cs="仿宋_GB2312"/>
          <w:sz w:val="31"/>
          <w:szCs w:val="31"/>
          <w:shd w:val="clear" w:fill="FFFFFF"/>
        </w:rPr>
        <w:t>支出0.07万元，国内公务接待1批次，接待7人次；主要用于检查接待用餐。</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国（境）外接待费支出0万元，国（境）外公务接待0批次，接待0人次。</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（2019年度“三公”经费预算数、决算数可取自附件财决批复08表，出国团组数、出国人次，公务用车购置数、公务用车保有量，接待团组数、接待人次2019年的可取自部门决算报表F03《表机构运行信息表》。）</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九、政府性基金预算财政拨款“三公”经费支出决算情况说明</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2019年度政府性基金预算财政拨款“三公”经费支出合计0.07万元。其中：因公出国（境）费支出决算0万元，占0%；公务用车购置及运行费支出决算0万元，占0%；公务接待费支出决算0.07万元，占100%。</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（本部分决算公开数字取自财决批复09表）</w:t>
      </w:r>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十、预算绩效情况说明。</w:t>
      </w:r>
    </w:p>
    <w:p>
      <w:pPr>
        <w:pStyle w:val="2"/>
        <w:keepNext w:val="0"/>
        <w:keepLines w:val="0"/>
        <w:widowControl/>
        <w:suppressLineNumbers w:val="0"/>
        <w:spacing w:before="450" w:beforeAutospacing="0" w:after="0" w:afterAutospacing="0" w:line="585" w:lineRule="atLeast"/>
        <w:ind w:left="0" w:right="0" w:firstLine="420"/>
      </w:pPr>
      <w:r>
        <w:rPr>
          <w:rStyle w:val="5"/>
          <w:rFonts w:hint="eastAsia" w:ascii="楷体" w:hAnsi="楷体" w:eastAsia="楷体" w:cs="楷体"/>
          <w:sz w:val="31"/>
          <w:szCs w:val="31"/>
          <w:shd w:val="clear" w:fill="FFFFFF"/>
        </w:rPr>
        <w:t>（一）绩效管理工作开展情况。</w:t>
      </w:r>
    </w:p>
    <w:p>
      <w:pPr>
        <w:pStyle w:val="2"/>
        <w:keepNext w:val="0"/>
        <w:keepLines w:val="0"/>
        <w:widowControl/>
        <w:suppressLineNumbers w:val="0"/>
        <w:spacing w:before="0" w:beforeAutospacing="0" w:after="0" w:afterAutospacing="0" w:line="576" w:lineRule="atLeast"/>
        <w:ind w:left="0" w:right="0" w:firstLine="634"/>
      </w:pPr>
      <w:r>
        <w:rPr>
          <w:rFonts w:hint="eastAsia" w:ascii="仿宋" w:eastAsia="仿宋" w:cs="仿宋"/>
          <w:sz w:val="32"/>
          <w:szCs w:val="32"/>
          <w:shd w:val="clear" w:fill="FFFFFF"/>
        </w:rPr>
        <w:t>根据财政预算管理要求，</w:t>
      </w:r>
      <w:r>
        <w:rPr>
          <w:rFonts w:hint="eastAsia" w:ascii="仿宋_GB2312" w:hAnsi="宋体" w:eastAsia="仿宋_GB2312" w:cs="宋体"/>
          <w:kern w:val="0"/>
          <w:sz w:val="32"/>
          <w:szCs w:val="32"/>
        </w:rPr>
        <w:t>县退役军人事务局</w:t>
      </w:r>
      <w:r>
        <w:rPr>
          <w:rFonts w:hint="eastAsia" w:ascii="仿宋" w:eastAsia="仿宋" w:cs="仿宋"/>
          <w:sz w:val="32"/>
          <w:szCs w:val="32"/>
          <w:shd w:val="clear" w:fill="FFFFFF"/>
        </w:rPr>
        <w:t>组织对2019年度一般公共预算项目支出开展了绩效自评。自评项目</w:t>
      </w:r>
      <w:r>
        <w:rPr>
          <w:rFonts w:hint="eastAsia" w:ascii="仿宋" w:eastAsia="仿宋" w:cs="仿宋"/>
          <w:sz w:val="32"/>
          <w:szCs w:val="32"/>
          <w:shd w:val="clear" w:fill="FFFFFF"/>
          <w:lang w:val="en-US" w:eastAsia="zh-CN"/>
        </w:rPr>
        <w:t>4</w:t>
      </w:r>
      <w:r>
        <w:rPr>
          <w:rFonts w:hint="eastAsia" w:ascii="仿宋" w:eastAsia="仿宋" w:cs="仿宋"/>
          <w:sz w:val="32"/>
          <w:szCs w:val="32"/>
          <w:shd w:val="clear" w:fill="FFFFFF"/>
        </w:rPr>
        <w:t>个，共涉及资金</w:t>
      </w:r>
      <w:r>
        <w:rPr>
          <w:rFonts w:hint="eastAsia" w:ascii="仿宋" w:eastAsia="仿宋" w:cs="仿宋"/>
          <w:sz w:val="32"/>
          <w:szCs w:val="32"/>
          <w:shd w:val="clear" w:fill="FFFFFF"/>
          <w:lang w:val="en-US" w:eastAsia="zh-CN"/>
        </w:rPr>
        <w:t>3223</w:t>
      </w:r>
      <w:r>
        <w:rPr>
          <w:rFonts w:hint="eastAsia" w:ascii="仿宋" w:eastAsia="仿宋" w:cs="仿宋"/>
          <w:sz w:val="32"/>
          <w:szCs w:val="32"/>
          <w:shd w:val="clear" w:fill="FFFFFF"/>
        </w:rPr>
        <w:t>.</w:t>
      </w:r>
      <w:r>
        <w:rPr>
          <w:rFonts w:hint="eastAsia" w:ascii="仿宋" w:eastAsia="仿宋" w:cs="仿宋"/>
          <w:sz w:val="32"/>
          <w:szCs w:val="32"/>
          <w:shd w:val="clear" w:fill="FFFFFF"/>
          <w:lang w:val="en-US" w:eastAsia="zh-CN"/>
        </w:rPr>
        <w:t>12</w:t>
      </w:r>
      <w:r>
        <w:rPr>
          <w:rFonts w:hint="eastAsia" w:ascii="仿宋" w:eastAsia="仿宋" w:cs="仿宋"/>
          <w:sz w:val="32"/>
          <w:szCs w:val="32"/>
          <w:shd w:val="clear" w:fill="FFFFFF"/>
        </w:rPr>
        <w:t>万元，自评覆盖率达到100%。</w:t>
      </w:r>
    </w:p>
    <w:p>
      <w:pPr>
        <w:pStyle w:val="2"/>
        <w:keepNext w:val="0"/>
        <w:keepLines w:val="0"/>
        <w:widowControl/>
        <w:suppressLineNumbers w:val="0"/>
        <w:spacing w:before="0" w:beforeAutospacing="0" w:after="0" w:afterAutospacing="0" w:line="576" w:lineRule="atLeast"/>
        <w:ind w:left="0" w:right="0" w:firstLine="634"/>
      </w:pPr>
      <w:r>
        <w:rPr>
          <w:rFonts w:hint="eastAsia" w:ascii="仿宋" w:hAnsi="仿宋" w:eastAsia="仿宋"/>
          <w:sz w:val="32"/>
          <w:szCs w:val="32"/>
          <w:lang w:eastAsia="zh-CN"/>
        </w:rPr>
        <w:t>“</w:t>
      </w:r>
      <w:r>
        <w:rPr>
          <w:rFonts w:hint="eastAsia" w:ascii="仿宋" w:hAnsi="仿宋" w:eastAsia="仿宋"/>
          <w:sz w:val="32"/>
          <w:szCs w:val="32"/>
        </w:rPr>
        <w:t>优抚对象补助经费</w:t>
      </w:r>
      <w:r>
        <w:rPr>
          <w:rFonts w:hint="eastAsia" w:ascii="仿宋" w:eastAsia="仿宋" w:cs="仿宋"/>
          <w:sz w:val="32"/>
          <w:szCs w:val="32"/>
          <w:shd w:val="clear" w:fill="FFFFFF"/>
        </w:rPr>
        <w:t>”</w:t>
      </w:r>
      <w:r>
        <w:rPr>
          <w:rFonts w:hint="eastAsia" w:ascii="仿宋" w:eastAsia="仿宋" w:cs="仿宋"/>
          <w:sz w:val="32"/>
          <w:szCs w:val="32"/>
          <w:shd w:val="clear" w:fill="FFFFFF"/>
          <w:lang w:eastAsia="zh-CN"/>
        </w:rPr>
        <w:t>等</w:t>
      </w:r>
      <w:r>
        <w:rPr>
          <w:rFonts w:hint="eastAsia" w:ascii="仿宋" w:eastAsia="仿宋" w:cs="仿宋"/>
          <w:sz w:val="32"/>
          <w:szCs w:val="32"/>
          <w:shd w:val="clear" w:fill="FFFFFF"/>
          <w:lang w:val="en-US" w:eastAsia="zh-CN"/>
        </w:rPr>
        <w:t>4个</w:t>
      </w:r>
      <w:r>
        <w:rPr>
          <w:rFonts w:hint="eastAsia" w:ascii="仿宋" w:eastAsia="仿宋" w:cs="仿宋"/>
          <w:sz w:val="32"/>
          <w:szCs w:val="32"/>
          <w:shd w:val="clear" w:fill="FFFFFF"/>
        </w:rPr>
        <w:t>项目进行了重点绩效评价，涉及资金</w:t>
      </w:r>
      <w:r>
        <w:rPr>
          <w:rFonts w:hint="eastAsia" w:ascii="仿宋" w:eastAsia="仿宋" w:cs="仿宋"/>
          <w:sz w:val="32"/>
          <w:szCs w:val="32"/>
          <w:shd w:val="clear" w:fill="FFFFFF"/>
          <w:lang w:val="en-US" w:eastAsia="zh-CN"/>
        </w:rPr>
        <w:t>3223</w:t>
      </w:r>
      <w:r>
        <w:rPr>
          <w:rFonts w:hint="eastAsia" w:ascii="仿宋" w:eastAsia="仿宋" w:cs="仿宋"/>
          <w:sz w:val="32"/>
          <w:szCs w:val="32"/>
          <w:shd w:val="clear" w:fill="FFFFFF"/>
        </w:rPr>
        <w:t>.</w:t>
      </w:r>
      <w:r>
        <w:rPr>
          <w:rFonts w:hint="eastAsia" w:ascii="仿宋" w:eastAsia="仿宋" w:cs="仿宋"/>
          <w:sz w:val="32"/>
          <w:szCs w:val="32"/>
          <w:shd w:val="clear" w:fill="FFFFFF"/>
          <w:lang w:val="en-US" w:eastAsia="zh-CN"/>
        </w:rPr>
        <w:t>12</w:t>
      </w:r>
      <w:r>
        <w:rPr>
          <w:rFonts w:hint="eastAsia" w:ascii="仿宋" w:eastAsia="仿宋" w:cs="仿宋"/>
          <w:sz w:val="32"/>
          <w:szCs w:val="32"/>
          <w:shd w:val="clear" w:fill="FFFFFF"/>
        </w:rPr>
        <w:t>万元。从评价情况来看，评分9</w:t>
      </w:r>
      <w:r>
        <w:rPr>
          <w:rFonts w:hint="eastAsia" w:ascii="仿宋" w:eastAsia="仿宋" w:cs="仿宋"/>
          <w:sz w:val="32"/>
          <w:szCs w:val="32"/>
          <w:shd w:val="clear" w:fill="FFFFFF"/>
          <w:lang w:val="en-US" w:eastAsia="zh-CN"/>
        </w:rPr>
        <w:t>5</w:t>
      </w:r>
      <w:r>
        <w:rPr>
          <w:rFonts w:hint="eastAsia" w:ascii="仿宋" w:eastAsia="仿宋" w:cs="仿宋"/>
          <w:sz w:val="32"/>
          <w:szCs w:val="32"/>
          <w:shd w:val="clear" w:fill="FFFFFF"/>
        </w:rPr>
        <w:t>.67，年末支出进度9</w:t>
      </w:r>
      <w:r>
        <w:rPr>
          <w:rFonts w:hint="eastAsia" w:ascii="仿宋" w:eastAsia="仿宋" w:cs="仿宋"/>
          <w:sz w:val="32"/>
          <w:szCs w:val="32"/>
          <w:shd w:val="clear" w:fill="FFFFFF"/>
          <w:lang w:val="en-US" w:eastAsia="zh-CN"/>
        </w:rPr>
        <w:t>5</w:t>
      </w:r>
      <w:r>
        <w:rPr>
          <w:rFonts w:hint="eastAsia" w:ascii="仿宋" w:eastAsia="仿宋" w:cs="仿宋"/>
          <w:sz w:val="32"/>
          <w:szCs w:val="32"/>
          <w:shd w:val="clear" w:fill="FFFFFF"/>
        </w:rPr>
        <w:t>.67%，支出进度优秀。</w:t>
      </w:r>
    </w:p>
    <w:p>
      <w:pPr>
        <w:pStyle w:val="2"/>
        <w:keepNext w:val="0"/>
        <w:keepLines w:val="0"/>
        <w:widowControl/>
        <w:suppressLineNumbers w:val="0"/>
        <w:spacing w:before="0" w:beforeAutospacing="0" w:after="0" w:afterAutospacing="0" w:line="576" w:lineRule="atLeast"/>
        <w:ind w:left="0" w:right="0" w:firstLine="634"/>
      </w:pPr>
      <w:r>
        <w:rPr>
          <w:rFonts w:hint="eastAsia" w:ascii="仿宋_GB2312" w:hAnsi="宋体" w:eastAsia="仿宋_GB2312" w:cs="宋体"/>
          <w:kern w:val="0"/>
          <w:sz w:val="32"/>
          <w:szCs w:val="32"/>
        </w:rPr>
        <w:t>县退役军人事务局</w:t>
      </w:r>
      <w:r>
        <w:rPr>
          <w:rFonts w:hint="eastAsia" w:ascii="仿宋" w:eastAsia="仿宋" w:cs="仿宋"/>
          <w:sz w:val="32"/>
          <w:szCs w:val="32"/>
          <w:shd w:val="clear" w:fill="FFFFFF"/>
        </w:rPr>
        <w:t>开展整体支出绩效评价，涉及资金</w:t>
      </w:r>
      <w:r>
        <w:rPr>
          <w:rFonts w:hint="eastAsia" w:ascii="仿宋" w:eastAsia="仿宋" w:cs="仿宋"/>
          <w:sz w:val="32"/>
          <w:szCs w:val="32"/>
          <w:shd w:val="clear" w:fill="FFFFFF"/>
          <w:lang w:val="en-US" w:eastAsia="zh-CN"/>
        </w:rPr>
        <w:t>3223</w:t>
      </w:r>
      <w:r>
        <w:rPr>
          <w:rFonts w:hint="eastAsia" w:ascii="仿宋" w:eastAsia="仿宋" w:cs="仿宋"/>
          <w:sz w:val="32"/>
          <w:szCs w:val="32"/>
          <w:shd w:val="clear" w:fill="FFFFFF"/>
        </w:rPr>
        <w:t>.</w:t>
      </w:r>
      <w:r>
        <w:rPr>
          <w:rFonts w:hint="eastAsia" w:ascii="仿宋" w:eastAsia="仿宋" w:cs="仿宋"/>
          <w:sz w:val="32"/>
          <w:szCs w:val="32"/>
          <w:shd w:val="clear" w:fill="FFFFFF"/>
          <w:lang w:val="en-US" w:eastAsia="zh-CN"/>
        </w:rPr>
        <w:t>12</w:t>
      </w:r>
      <w:r>
        <w:rPr>
          <w:rFonts w:hint="eastAsia" w:ascii="仿宋" w:eastAsia="仿宋" w:cs="仿宋"/>
          <w:sz w:val="32"/>
          <w:szCs w:val="32"/>
          <w:shd w:val="clear" w:fill="FFFFFF"/>
        </w:rPr>
        <w:t>万元。从评价情况来看，评分9</w:t>
      </w:r>
      <w:r>
        <w:rPr>
          <w:rFonts w:hint="eastAsia" w:ascii="仿宋" w:eastAsia="仿宋" w:cs="仿宋"/>
          <w:sz w:val="32"/>
          <w:szCs w:val="32"/>
          <w:shd w:val="clear" w:fill="FFFFFF"/>
          <w:lang w:val="en-US" w:eastAsia="zh-CN"/>
        </w:rPr>
        <w:t>5</w:t>
      </w:r>
      <w:r>
        <w:rPr>
          <w:rFonts w:hint="eastAsia" w:ascii="仿宋" w:eastAsia="仿宋" w:cs="仿宋"/>
          <w:sz w:val="32"/>
          <w:szCs w:val="32"/>
          <w:shd w:val="clear" w:fill="FFFFFF"/>
        </w:rPr>
        <w:t>.67，年末支出进度9</w:t>
      </w:r>
      <w:r>
        <w:rPr>
          <w:rFonts w:hint="eastAsia" w:ascii="仿宋" w:eastAsia="仿宋" w:cs="仿宋"/>
          <w:sz w:val="32"/>
          <w:szCs w:val="32"/>
          <w:shd w:val="clear" w:fill="FFFFFF"/>
          <w:lang w:val="en-US" w:eastAsia="zh-CN"/>
        </w:rPr>
        <w:t>5</w:t>
      </w:r>
      <w:r>
        <w:rPr>
          <w:rFonts w:hint="eastAsia" w:ascii="仿宋" w:eastAsia="仿宋" w:cs="仿宋"/>
          <w:sz w:val="32"/>
          <w:szCs w:val="32"/>
          <w:shd w:val="clear" w:fill="FFFFFF"/>
        </w:rPr>
        <w:t>.67%，支出进度优秀。</w:t>
      </w:r>
    </w:p>
    <w:p>
      <w:pPr>
        <w:pStyle w:val="2"/>
        <w:keepNext w:val="0"/>
        <w:keepLines w:val="0"/>
        <w:widowControl/>
        <w:suppressLineNumbers w:val="0"/>
        <w:spacing w:before="450" w:beforeAutospacing="0" w:after="0" w:afterAutospacing="0" w:line="585" w:lineRule="atLeast"/>
        <w:ind w:left="0" w:right="0" w:firstLine="420"/>
      </w:pPr>
    </w:p>
    <w:p>
      <w:pPr>
        <w:pStyle w:val="2"/>
        <w:keepNext w:val="0"/>
        <w:keepLines w:val="0"/>
        <w:widowControl/>
        <w:suppressLineNumbers w:val="0"/>
        <w:spacing w:before="450" w:beforeAutospacing="0" w:after="0" w:afterAutospacing="0" w:line="585" w:lineRule="atLeast"/>
        <w:ind w:left="0" w:right="0" w:firstLine="420"/>
      </w:pPr>
      <w:r>
        <w:rPr>
          <w:rStyle w:val="5"/>
          <w:rFonts w:hint="eastAsia" w:ascii="楷体" w:hAnsi="楷体" w:eastAsia="楷体" w:cs="楷体"/>
          <w:sz w:val="31"/>
          <w:szCs w:val="31"/>
          <w:shd w:val="clear" w:fill="FFFFFF"/>
        </w:rPr>
        <w:t>（二）部门决算中项目绩效自评结果。</w:t>
      </w:r>
    </w:p>
    <w:p>
      <w:pPr>
        <w:pStyle w:val="2"/>
        <w:keepNext w:val="0"/>
        <w:keepLines w:val="0"/>
        <w:widowControl/>
        <w:suppressLineNumbers w:val="0"/>
        <w:spacing w:before="0" w:beforeAutospacing="0" w:after="0" w:afterAutospacing="0" w:line="576" w:lineRule="atLeast"/>
        <w:ind w:left="0" w:right="0" w:firstLine="634"/>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优抚对象补助经费</w:t>
      </w:r>
      <w:r>
        <w:rPr>
          <w:rFonts w:hint="eastAsia" w:ascii="仿宋" w:eastAsia="仿宋" w:cs="仿宋"/>
          <w:sz w:val="32"/>
          <w:szCs w:val="32"/>
          <w:shd w:val="clear" w:fill="FFFFFF"/>
        </w:rPr>
        <w:t>”</w:t>
      </w:r>
      <w:r>
        <w:rPr>
          <w:rFonts w:hint="eastAsia" w:ascii="仿宋" w:eastAsia="仿宋" w:cs="仿宋"/>
          <w:sz w:val="32"/>
          <w:szCs w:val="32"/>
          <w:shd w:val="clear" w:fill="FFFFFF"/>
          <w:lang w:eastAsia="zh-CN"/>
        </w:rPr>
        <w:t>等</w:t>
      </w:r>
      <w:r>
        <w:rPr>
          <w:rFonts w:hint="eastAsia" w:ascii="仿宋" w:eastAsia="仿宋" w:cs="仿宋"/>
          <w:sz w:val="32"/>
          <w:szCs w:val="32"/>
          <w:shd w:val="clear" w:fill="FFFFFF"/>
          <w:lang w:val="en-US" w:eastAsia="zh-CN"/>
        </w:rPr>
        <w:t>4个</w:t>
      </w:r>
      <w:r>
        <w:rPr>
          <w:rFonts w:hint="eastAsia" w:ascii="仿宋" w:eastAsia="仿宋" w:cs="仿宋"/>
          <w:sz w:val="32"/>
          <w:szCs w:val="32"/>
          <w:shd w:val="clear" w:fill="FFFFFF"/>
        </w:rPr>
        <w:t>项目项目自评得分为9</w:t>
      </w:r>
      <w:r>
        <w:rPr>
          <w:rFonts w:hint="eastAsia" w:ascii="仿宋" w:eastAsia="仿宋" w:cs="仿宋"/>
          <w:sz w:val="32"/>
          <w:szCs w:val="32"/>
          <w:shd w:val="clear" w:fill="FFFFFF"/>
          <w:lang w:val="en-US" w:eastAsia="zh-CN"/>
        </w:rPr>
        <w:t>5</w:t>
      </w:r>
      <w:r>
        <w:rPr>
          <w:rFonts w:hint="eastAsia" w:ascii="仿宋" w:eastAsia="仿宋" w:cs="仿宋"/>
          <w:sz w:val="32"/>
          <w:szCs w:val="32"/>
          <w:shd w:val="clear" w:fill="FFFFFF"/>
        </w:rPr>
        <w:t>.67分。发现的主要问题及原因：</w:t>
      </w:r>
      <w:r>
        <w:rPr>
          <w:rFonts w:hint="eastAsia" w:ascii="仿宋" w:hAnsi="仿宋" w:eastAsia="仿宋"/>
          <w:sz w:val="32"/>
          <w:szCs w:val="32"/>
        </w:rPr>
        <w:t>2019年底，我县共有优抚对象1948人，优抚对象抚恤生活补助收入总额为2345.8万元，支出1863.34万元，结余482.46万元，执行率为79.43%。优抚对象抚恤生活补助结余482.46万元，主要是上年也有结余，本年度也有优抚对象自然减员结余等，一般先使用上年结余资金发放，下一步将重点用于解决优抚对象住房、生活等方面困难问题。</w:t>
      </w:r>
    </w:p>
    <w:p>
      <w:pPr>
        <w:pStyle w:val="2"/>
        <w:keepNext w:val="0"/>
        <w:keepLines w:val="0"/>
        <w:widowControl/>
        <w:suppressLineNumbers w:val="0"/>
        <w:spacing w:before="0" w:beforeAutospacing="0" w:after="0" w:afterAutospacing="0" w:line="576" w:lineRule="atLeast"/>
        <w:ind w:left="0" w:right="0" w:firstLine="634"/>
      </w:pPr>
      <w:r>
        <w:rPr>
          <w:rFonts w:hint="eastAsia" w:ascii="仿宋" w:eastAsia="仿宋" w:cs="仿宋"/>
          <w:sz w:val="32"/>
          <w:szCs w:val="32"/>
          <w:shd w:val="clear" w:fill="FFFFFF"/>
        </w:rPr>
        <w:t>在公开项目绩效自评结果的同时，需公开《项目支出绩效自评表》。</w:t>
      </w:r>
    </w:p>
    <w:p>
      <w:pPr>
        <w:pStyle w:val="2"/>
        <w:keepNext w:val="0"/>
        <w:keepLines w:val="0"/>
        <w:widowControl/>
        <w:numPr>
          <w:ilvl w:val="0"/>
          <w:numId w:val="1"/>
        </w:numPr>
        <w:suppressLineNumbers w:val="0"/>
        <w:spacing w:before="450" w:beforeAutospacing="0" w:after="0" w:afterAutospacing="0" w:line="585" w:lineRule="atLeast"/>
        <w:ind w:left="0" w:right="0" w:firstLine="420"/>
        <w:rPr>
          <w:rStyle w:val="5"/>
          <w:rFonts w:hint="eastAsia" w:ascii="楷体" w:hAnsi="楷体" w:eastAsia="楷体" w:cs="楷体"/>
          <w:sz w:val="31"/>
          <w:szCs w:val="31"/>
          <w:shd w:val="clear" w:fill="FFFFFF"/>
        </w:rPr>
      </w:pPr>
      <w:r>
        <w:rPr>
          <w:rStyle w:val="5"/>
          <w:rFonts w:hint="eastAsia" w:ascii="楷体" w:hAnsi="楷体" w:eastAsia="楷体" w:cs="楷体"/>
          <w:sz w:val="31"/>
          <w:szCs w:val="31"/>
          <w:shd w:val="clear" w:fill="FFFFFF"/>
        </w:rPr>
        <w:t>重点项目绩效评价情况（</w:t>
      </w:r>
      <w:r>
        <w:rPr>
          <w:rStyle w:val="5"/>
          <w:rFonts w:hint="eastAsia" w:ascii="楷体" w:hAnsi="楷体" w:eastAsia="楷体" w:cs="楷体"/>
          <w:sz w:val="31"/>
          <w:szCs w:val="31"/>
          <w:shd w:val="clear" w:fill="FFFFFF"/>
          <w:lang w:val="en-US" w:eastAsia="zh-CN"/>
        </w:rPr>
        <w:t>无</w:t>
      </w:r>
      <w:r>
        <w:rPr>
          <w:rStyle w:val="5"/>
          <w:rFonts w:hint="eastAsia" w:ascii="楷体" w:hAnsi="楷体" w:eastAsia="楷体" w:cs="楷体"/>
          <w:sz w:val="31"/>
          <w:szCs w:val="31"/>
          <w:shd w:val="clear" w:fill="FFFFFF"/>
        </w:rPr>
        <w:t>）</w:t>
      </w:r>
      <w:r>
        <w:rPr>
          <w:sz w:val="24"/>
          <w:szCs w:val="24"/>
          <w:shd w:val="clear" w:fill="FFFFFF"/>
        </w:rPr>
        <w:t> </w:t>
      </w:r>
      <w:r>
        <w:rPr>
          <w:rFonts w:hint="eastAsia"/>
          <w:sz w:val="24"/>
          <w:szCs w:val="24"/>
          <w:shd w:val="clear" w:fill="FFFFFF"/>
          <w:lang w:val="en-US" w:eastAsia="zh-CN"/>
        </w:rPr>
        <w:t xml:space="preserve">                                        </w:t>
      </w:r>
      <w:r>
        <w:rPr>
          <w:sz w:val="24"/>
          <w:szCs w:val="24"/>
          <w:shd w:val="clear" w:fill="FFFFFF"/>
        </w:rPr>
        <w:t xml:space="preserve"> </w:t>
      </w:r>
      <w:r>
        <w:rPr>
          <w:rFonts w:hint="eastAsia"/>
          <w:sz w:val="24"/>
          <w:szCs w:val="24"/>
          <w:shd w:val="clear" w:fill="FFFFFF"/>
          <w:lang w:val="en-US" w:eastAsia="zh-CN"/>
        </w:rPr>
        <w:t xml:space="preserve">   </w:t>
      </w:r>
      <w:r>
        <w:rPr>
          <w:rFonts w:hint="eastAsia" w:ascii="仿宋" w:eastAsia="仿宋" w:cs="仿宋"/>
          <w:b w:val="0"/>
          <w:sz w:val="32"/>
          <w:szCs w:val="32"/>
          <w:shd w:val="clear" w:fill="FFFFFF"/>
        </w:rPr>
        <w:t>无</w:t>
      </w:r>
      <w:r>
        <w:rPr>
          <w:rFonts w:hint="eastAsia" w:ascii="楷体" w:hAnsi="楷体" w:eastAsia="楷体" w:cs="楷体"/>
          <w:b w:val="0"/>
          <w:sz w:val="32"/>
          <w:szCs w:val="32"/>
          <w:shd w:val="clear" w:fill="FFFFFF"/>
        </w:rPr>
        <w:t>重点项目绩效评价情况</w:t>
      </w:r>
      <w:r>
        <w:rPr>
          <w:rFonts w:hint="eastAsia" w:ascii="仿宋" w:eastAsia="仿宋" w:cs="仿宋"/>
          <w:b w:val="0"/>
          <w:sz w:val="32"/>
          <w:szCs w:val="32"/>
          <w:shd w:val="clear" w:fill="FFFFFF"/>
        </w:rPr>
        <w:t>。</w:t>
      </w:r>
    </w:p>
    <w:p>
      <w:pPr>
        <w:pStyle w:val="2"/>
        <w:keepNext w:val="0"/>
        <w:keepLines w:val="0"/>
        <w:widowControl/>
        <w:numPr>
          <w:ilvl w:val="0"/>
          <w:numId w:val="1"/>
        </w:numPr>
        <w:suppressLineNumbers w:val="0"/>
        <w:spacing w:before="0" w:beforeAutospacing="0" w:after="274" w:afterAutospacing="0" w:line="576" w:lineRule="atLeast"/>
        <w:ind w:left="0" w:leftChars="0" w:right="0" w:firstLine="420" w:firstLineChars="0"/>
        <w:jc w:val="left"/>
        <w:rPr>
          <w:rStyle w:val="5"/>
          <w:rFonts w:hint="eastAsia" w:ascii="楷体" w:hAnsi="楷体" w:eastAsia="楷体" w:cs="楷体"/>
          <w:sz w:val="31"/>
          <w:szCs w:val="31"/>
          <w:shd w:val="clear" w:fill="FFFFFF"/>
        </w:rPr>
      </w:pPr>
      <w:r>
        <w:rPr>
          <w:rStyle w:val="5"/>
          <w:rFonts w:hint="eastAsia" w:ascii="楷体" w:hAnsi="楷体" w:eastAsia="楷体" w:cs="楷体"/>
          <w:sz w:val="31"/>
          <w:szCs w:val="31"/>
          <w:shd w:val="clear" w:fill="FFFFFF"/>
        </w:rPr>
        <w:t>其他以部门为主体开展的项目绩效评价报告（</w:t>
      </w:r>
      <w:r>
        <w:rPr>
          <w:rStyle w:val="5"/>
          <w:rFonts w:hint="eastAsia" w:ascii="楷体" w:hAnsi="楷体" w:eastAsia="楷体" w:cs="楷体"/>
          <w:sz w:val="31"/>
          <w:szCs w:val="31"/>
          <w:shd w:val="clear" w:fill="FFFFFF"/>
          <w:lang w:val="en-US" w:eastAsia="zh-CN"/>
        </w:rPr>
        <w:tab/>
        <w:t>无</w:t>
      </w:r>
      <w:r>
        <w:rPr>
          <w:rStyle w:val="5"/>
          <w:rFonts w:hint="eastAsia" w:ascii="楷体" w:hAnsi="楷体" w:eastAsia="楷体" w:cs="楷体"/>
          <w:sz w:val="31"/>
          <w:szCs w:val="31"/>
          <w:shd w:val="clear" w:fill="FFFFFF"/>
        </w:rPr>
        <w:t>）</w:t>
      </w:r>
      <w:r>
        <w:rPr>
          <w:rStyle w:val="5"/>
          <w:rFonts w:hint="eastAsia" w:ascii="楷体" w:hAnsi="楷体" w:eastAsia="楷体" w:cs="楷体"/>
          <w:sz w:val="31"/>
          <w:szCs w:val="31"/>
          <w:shd w:val="clear" w:fill="FFFFFF"/>
          <w:lang w:val="en-US" w:eastAsia="zh-CN"/>
        </w:rPr>
        <w:t xml:space="preserve">   </w:t>
      </w:r>
      <w:bookmarkStart w:id="113" w:name="_GoBack"/>
      <w:bookmarkEnd w:id="113"/>
    </w:p>
    <w:p>
      <w:pPr>
        <w:pStyle w:val="2"/>
        <w:keepNext w:val="0"/>
        <w:keepLines w:val="0"/>
        <w:widowControl/>
        <w:suppressLineNumbers w:val="0"/>
        <w:spacing w:before="450" w:beforeAutospacing="0" w:after="0" w:afterAutospacing="0" w:line="15" w:lineRule="atLeast"/>
        <w:ind w:left="0" w:right="0" w:firstLine="420"/>
      </w:pPr>
      <w:r>
        <w:rPr>
          <w:rFonts w:hint="eastAsia" w:ascii="黑体" w:hAnsi="宋体" w:eastAsia="黑体" w:cs="黑体"/>
          <w:sz w:val="31"/>
          <w:szCs w:val="31"/>
          <w:shd w:val="clear" w:fill="FFFFFF"/>
        </w:rPr>
        <w:t>十一、其他重要事项情况说明。</w:t>
      </w:r>
    </w:p>
    <w:p>
      <w:pPr>
        <w:pStyle w:val="2"/>
        <w:keepNext w:val="0"/>
        <w:keepLines w:val="0"/>
        <w:widowControl/>
        <w:suppressLineNumbers w:val="0"/>
        <w:spacing w:before="450" w:beforeAutospacing="0" w:after="0" w:afterAutospacing="0" w:line="15" w:lineRule="atLeast"/>
        <w:ind w:left="0" w:right="0" w:firstLine="420"/>
      </w:pPr>
      <w:bookmarkStart w:id="89" w:name="_Toc23598_WPSOffice_Level2"/>
      <w:bookmarkEnd w:id="89"/>
      <w:bookmarkStart w:id="90" w:name="_Toc18325_WPSOffice_Level2"/>
      <w:bookmarkEnd w:id="90"/>
      <w:bookmarkStart w:id="91" w:name="_Toc32639_WPSOffice_Level2"/>
      <w:bookmarkEnd w:id="91"/>
      <w:bookmarkStart w:id="92" w:name="_Toc15565_WPSOffice_Level2"/>
      <w:bookmarkEnd w:id="92"/>
      <w:bookmarkStart w:id="93" w:name="_Toc15262_WPSOffice_Level2"/>
      <w:bookmarkEnd w:id="93"/>
      <w:bookmarkStart w:id="94" w:name="_Toc5978_WPSOffice_Level2"/>
      <w:r>
        <w:rPr>
          <w:rStyle w:val="5"/>
          <w:rFonts w:hint="eastAsia" w:ascii="楷体" w:hAnsi="楷体" w:eastAsia="楷体" w:cs="楷体"/>
          <w:color w:val="434343"/>
          <w:sz w:val="31"/>
          <w:szCs w:val="31"/>
          <w:u w:val="none"/>
          <w:shd w:val="clear" w:fill="FFFFFF"/>
        </w:rPr>
        <w:t>（一）</w:t>
      </w:r>
      <w:bookmarkEnd w:id="94"/>
      <w:r>
        <w:rPr>
          <w:rStyle w:val="5"/>
          <w:rFonts w:hint="eastAsia" w:ascii="楷体" w:hAnsi="楷体" w:eastAsia="楷体" w:cs="楷体"/>
          <w:sz w:val="31"/>
          <w:szCs w:val="31"/>
          <w:shd w:val="clear" w:fill="FFFFFF"/>
        </w:rPr>
        <w:t>机关运行经费支出情况。</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本部门（单位）机关运行经费10.95万元（为部门决算中行政单位和参公事业单位使用一般公共预算财政拨款安排的基本支出中的日常公用经费支出，事业单位没有机关运行经费支出），比年初预算增加（减少）0万元，增长（降低）0%。</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机关运行经费预算数字可取自部门决算报表财决01-1表《财政拨款收入支出决算总表》[58,14]单元格，即年初预算数-一般公共预算财政拨款-日常公用经费，注意因为是部门汇总公开决算，而事业单位没有机关运行经费支出，故部门汇总的机关运行经费预算数应为部门所属的各行政单位或参公单位的汇总数；决算数字可取自2019年度部门决算报表F03表《机关运行信息表》“机关运行经费”栏。）</w:t>
      </w:r>
    </w:p>
    <w:p>
      <w:pPr>
        <w:pStyle w:val="2"/>
        <w:keepNext w:val="0"/>
        <w:keepLines w:val="0"/>
        <w:widowControl/>
        <w:suppressLineNumbers w:val="0"/>
        <w:spacing w:before="450" w:beforeAutospacing="0" w:after="0" w:afterAutospacing="0" w:line="15" w:lineRule="atLeast"/>
        <w:ind w:left="0" w:right="0" w:firstLine="420"/>
      </w:pPr>
      <w:bookmarkStart w:id="95" w:name="_Toc32689_WPSOffice_Level2"/>
      <w:bookmarkEnd w:id="95"/>
      <w:bookmarkStart w:id="96" w:name="_Toc3131_WPSOffice_Level2"/>
      <w:bookmarkEnd w:id="96"/>
      <w:bookmarkStart w:id="97" w:name="_Toc25333_WPSOffice_Level2"/>
      <w:bookmarkEnd w:id="97"/>
      <w:bookmarkStart w:id="98" w:name="_Toc13084_WPSOffice_Level2"/>
      <w:bookmarkEnd w:id="98"/>
      <w:bookmarkStart w:id="99" w:name="_Toc30383_WPSOffice_Level2"/>
      <w:bookmarkEnd w:id="99"/>
      <w:bookmarkStart w:id="100" w:name="_Toc23966_WPSOffice_Level2"/>
      <w:r>
        <w:rPr>
          <w:rStyle w:val="5"/>
          <w:rFonts w:hint="eastAsia" w:ascii="楷体" w:hAnsi="楷体" w:eastAsia="楷体" w:cs="楷体"/>
          <w:color w:val="434343"/>
          <w:sz w:val="31"/>
          <w:szCs w:val="31"/>
          <w:u w:val="none"/>
          <w:shd w:val="clear" w:fill="FFFFFF"/>
        </w:rPr>
        <w:t>（二）</w:t>
      </w:r>
      <w:bookmarkEnd w:id="100"/>
      <w:r>
        <w:rPr>
          <w:rStyle w:val="5"/>
          <w:rFonts w:hint="eastAsia" w:ascii="楷体" w:hAnsi="楷体" w:eastAsia="楷体" w:cs="楷体"/>
          <w:sz w:val="31"/>
          <w:szCs w:val="31"/>
          <w:shd w:val="clear" w:fill="FFFFFF"/>
        </w:rPr>
        <w:t>政府采购支出情况。</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2019年度XX部门（单位）政府采购支出总额24.14万元，其中：政府采购货物支出24.14万元、政府采购工程支出0万元、政府采购服务支出0万元。授予中小企业合同金额0万元，占政府采购支出总额的0%，其中：授予小微企业合同金额0万元，占政府采购支出总额的0%。</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（上述政府采购支出相关数字取自2019年度部门决算报表F03表《机关运行信息表》，授予中小企业和小微企业合同金额由各部门查阅本部门相关财务资料填写。）</w:t>
      </w:r>
    </w:p>
    <w:p>
      <w:pPr>
        <w:pStyle w:val="2"/>
        <w:keepNext w:val="0"/>
        <w:keepLines w:val="0"/>
        <w:widowControl/>
        <w:suppressLineNumbers w:val="0"/>
        <w:spacing w:before="450" w:beforeAutospacing="0" w:after="0" w:afterAutospacing="0" w:line="15" w:lineRule="atLeast"/>
        <w:ind w:left="0" w:right="0" w:firstLine="420"/>
      </w:pPr>
      <w:bookmarkStart w:id="101" w:name="_Toc6016_WPSOffice_Level2"/>
      <w:bookmarkEnd w:id="101"/>
      <w:bookmarkStart w:id="102" w:name="_Toc19989_WPSOffice_Level2"/>
      <w:bookmarkEnd w:id="102"/>
      <w:bookmarkStart w:id="103" w:name="_Toc29584_WPSOffice_Level2"/>
      <w:bookmarkEnd w:id="103"/>
      <w:bookmarkStart w:id="104" w:name="_Toc527_WPSOffice_Level2"/>
      <w:bookmarkEnd w:id="104"/>
      <w:bookmarkStart w:id="105" w:name="_Toc10902_WPSOffice_Level2"/>
      <w:bookmarkEnd w:id="105"/>
      <w:bookmarkStart w:id="106" w:name="_Toc15129_WPSOffice_Level2"/>
      <w:r>
        <w:rPr>
          <w:rStyle w:val="5"/>
          <w:rFonts w:hint="eastAsia" w:ascii="楷体" w:hAnsi="楷体" w:eastAsia="楷体" w:cs="楷体"/>
          <w:color w:val="434343"/>
          <w:sz w:val="31"/>
          <w:szCs w:val="31"/>
          <w:u w:val="none"/>
          <w:shd w:val="clear" w:fill="FFFFFF"/>
        </w:rPr>
        <w:t>（三）</w:t>
      </w:r>
      <w:bookmarkEnd w:id="106"/>
      <w:r>
        <w:rPr>
          <w:rStyle w:val="5"/>
          <w:rFonts w:hint="eastAsia" w:ascii="楷体" w:hAnsi="楷体" w:eastAsia="楷体" w:cs="楷体"/>
          <w:sz w:val="31"/>
          <w:szCs w:val="31"/>
          <w:shd w:val="clear" w:fill="FFFFFF"/>
        </w:rPr>
        <w:t>国有资产占用情况。</w:t>
      </w:r>
    </w:p>
    <w:p>
      <w:pPr>
        <w:pStyle w:val="2"/>
        <w:keepNext w:val="0"/>
        <w:keepLines w:val="0"/>
        <w:widowControl/>
        <w:suppressLineNumbers w:val="0"/>
        <w:spacing w:before="450" w:beforeAutospacing="0" w:after="0" w:afterAutospacing="0" w:line="585" w:lineRule="atLeast"/>
        <w:ind w:left="0" w:right="0" w:firstLine="420"/>
      </w:pPr>
      <w:r>
        <w:rPr>
          <w:rFonts w:hint="default" w:ascii="仿宋_GB2312" w:eastAsia="仿宋_GB2312" w:cs="仿宋_GB2312"/>
          <w:sz w:val="31"/>
          <w:szCs w:val="31"/>
          <w:shd w:val="clear" w:fill="FFFFFF"/>
        </w:rPr>
        <w:t>截至2019年度12月31日，本部门占用房屋面积XX平方米，其中：办公用房0平方米，业务用房0平方米，其他（不含构筑物）0平方米。</w:t>
      </w:r>
    </w:p>
    <w:p>
      <w:pPr>
        <w:pStyle w:val="2"/>
        <w:keepNext w:val="0"/>
        <w:keepLines w:val="0"/>
        <w:widowControl/>
        <w:suppressLineNumbers w:val="0"/>
        <w:spacing w:before="450" w:beforeAutospacing="0" w:after="0" w:afterAutospacing="0" w:line="585" w:lineRule="atLeast"/>
        <w:ind w:left="0" w:right="0" w:firstLine="420"/>
      </w:pPr>
      <w:r>
        <w:rPr>
          <w:rFonts w:hint="default" w:ascii="仿宋_GB2312" w:eastAsia="仿宋_GB2312" w:cs="仿宋_GB2312"/>
          <w:sz w:val="31"/>
          <w:szCs w:val="31"/>
          <w:shd w:val="clear" w:fill="FFFFFF"/>
        </w:rPr>
        <w:t>本部门共有车辆0辆，其中：从车辆种类说明：轿车0辆、越野车0辆、小型载客汽车0辆、大中型载客汽车辆、其他用车0辆。</w:t>
      </w:r>
    </w:p>
    <w:p>
      <w:pPr>
        <w:pStyle w:val="2"/>
        <w:keepNext w:val="0"/>
        <w:keepLines w:val="0"/>
        <w:widowControl/>
        <w:suppressLineNumbers w:val="0"/>
        <w:spacing w:before="450" w:beforeAutospacing="0" w:after="0" w:afterAutospacing="0" w:line="585" w:lineRule="atLeast"/>
        <w:ind w:left="0" w:right="0" w:firstLine="420"/>
      </w:pPr>
      <w:r>
        <w:rPr>
          <w:rFonts w:hint="default" w:ascii="仿宋_GB2312" w:eastAsia="仿宋_GB2312" w:cs="仿宋_GB2312"/>
          <w:sz w:val="31"/>
          <w:szCs w:val="31"/>
          <w:shd w:val="clear" w:fill="FFFFFF"/>
        </w:rPr>
        <w:t>单位价值50万元（含）以上通用设备0台（套），单价100万元（含）以上专用设备0台（套）。</w:t>
      </w:r>
    </w:p>
    <w:p>
      <w:pPr>
        <w:pStyle w:val="2"/>
        <w:keepNext w:val="0"/>
        <w:keepLines w:val="0"/>
        <w:widowControl/>
        <w:suppressLineNumbers w:val="0"/>
        <w:spacing w:before="450" w:beforeAutospacing="0" w:after="0" w:afterAutospacing="0" w:line="585" w:lineRule="atLeast"/>
        <w:ind w:left="0" w:right="0" w:firstLine="420"/>
      </w:pPr>
      <w:r>
        <w:rPr>
          <w:rFonts w:hint="default" w:ascii="仿宋_GB2312" w:eastAsia="仿宋_GB2312" w:cs="仿宋_GB2312"/>
          <w:sz w:val="31"/>
          <w:szCs w:val="31"/>
          <w:shd w:val="clear" w:fill="FFFFFF"/>
        </w:rPr>
        <w:t>年末在建工程0万元。</w:t>
      </w:r>
    </w:p>
    <w:p>
      <w:pPr>
        <w:pStyle w:val="2"/>
        <w:keepNext w:val="0"/>
        <w:keepLines w:val="0"/>
        <w:widowControl/>
        <w:suppressLineNumbers w:val="0"/>
        <w:spacing w:before="450" w:beforeAutospacing="0" w:after="0" w:afterAutospacing="0" w:line="585" w:lineRule="atLeast"/>
        <w:ind w:left="0" w:right="0" w:firstLine="420"/>
      </w:pPr>
      <w:r>
        <w:rPr>
          <w:rFonts w:hint="default" w:ascii="仿宋_GB2312" w:eastAsia="仿宋_GB2312" w:cs="仿宋_GB2312"/>
          <w:sz w:val="31"/>
          <w:szCs w:val="31"/>
          <w:shd w:val="clear" w:fill="FFFFFF"/>
        </w:rPr>
        <w:t>（上述国有资产占用情况相关数字取自2019年度部门决算F01表《预算支出相关信息表》、F03表《机关运行信息表》。）</w:t>
      </w:r>
    </w:p>
    <w:p>
      <w:pPr>
        <w:pStyle w:val="2"/>
        <w:keepNext w:val="0"/>
        <w:keepLines w:val="0"/>
        <w:widowControl/>
        <w:suppressLineNumbers w:val="0"/>
        <w:spacing w:before="450" w:beforeAutospacing="0" w:after="0" w:afterAutospacing="0" w:line="585" w:lineRule="atLeast"/>
        <w:ind w:left="0" w:right="0" w:firstLine="420"/>
      </w:pPr>
      <w:r>
        <w:rPr>
          <w:rFonts w:hint="default" w:ascii="仿宋_GB2312" w:eastAsia="仿宋_GB2312" w:cs="仿宋_GB2312"/>
          <w:sz w:val="31"/>
          <w:szCs w:val="31"/>
          <w:shd w:val="clear" w:fill="FFFFFF"/>
        </w:rPr>
        <w:t> </w:t>
      </w:r>
    </w:p>
    <w:p>
      <w:pPr>
        <w:pStyle w:val="2"/>
        <w:keepNext w:val="0"/>
        <w:keepLines w:val="0"/>
        <w:widowControl/>
        <w:suppressLineNumbers w:val="0"/>
        <w:spacing w:before="450" w:beforeAutospacing="0" w:after="0" w:afterAutospacing="0" w:line="15" w:lineRule="atLeast"/>
        <w:ind w:left="0" w:right="0" w:firstLine="420"/>
        <w:jc w:val="center"/>
      </w:pPr>
      <w:bookmarkStart w:id="107" w:name="_Toc17580_WPSOffice_Level1"/>
      <w:bookmarkEnd w:id="107"/>
      <w:bookmarkStart w:id="108" w:name="_Toc4398_WPSOffice_Level1"/>
      <w:bookmarkEnd w:id="108"/>
      <w:bookmarkStart w:id="109" w:name="_Toc8808_WPSOffice_Level1"/>
      <w:bookmarkEnd w:id="109"/>
      <w:bookmarkStart w:id="110" w:name="_Toc11039_WPSOffice_Level1"/>
      <w:bookmarkEnd w:id="110"/>
      <w:bookmarkStart w:id="111" w:name="_Toc8874_WPSOffice_Level1"/>
      <w:bookmarkEnd w:id="111"/>
      <w:bookmarkStart w:id="112" w:name="_Toc15425_WPSOffice_Level1"/>
      <w:r>
        <w:rPr>
          <w:rFonts w:hint="eastAsia" w:ascii="黑体" w:hAnsi="宋体" w:eastAsia="黑体" w:cs="黑体"/>
          <w:color w:val="434343"/>
          <w:sz w:val="31"/>
          <w:szCs w:val="31"/>
          <w:u w:val="none"/>
          <w:shd w:val="clear" w:fill="FFFFFF"/>
        </w:rPr>
        <w:t>第四部分</w:t>
      </w:r>
      <w:bookmarkEnd w:id="112"/>
      <w:r>
        <w:rPr>
          <w:rFonts w:hint="eastAsia" w:ascii="黑体" w:hAnsi="宋体" w:eastAsia="黑体" w:cs="黑体"/>
          <w:sz w:val="31"/>
          <w:szCs w:val="31"/>
          <w:shd w:val="clear" w:fill="FFFFFF"/>
        </w:rPr>
        <w:t>  名词解释</w:t>
      </w:r>
    </w:p>
    <w:p>
      <w:pPr>
        <w:pStyle w:val="2"/>
        <w:keepNext w:val="0"/>
        <w:keepLines w:val="0"/>
        <w:widowControl/>
        <w:suppressLineNumbers w:val="0"/>
        <w:spacing w:before="450" w:beforeAutospacing="0" w:after="0" w:afterAutospacing="0" w:line="15" w:lineRule="atLeast"/>
        <w:ind w:left="0" w:right="0" w:firstLine="420"/>
        <w:jc w:val="center"/>
      </w:pPr>
      <w:r>
        <w:rPr>
          <w:rFonts w:hint="eastAsia" w:ascii="黑体" w:hAnsi="宋体" w:eastAsia="黑体" w:cs="黑体"/>
          <w:sz w:val="31"/>
          <w:szCs w:val="31"/>
          <w:shd w:val="clear" w:fill="FFFFFF"/>
        </w:rPr>
        <w:t> </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一、财政拨款收入：指本级财政当年拨付的资金。</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二、事业收入：指事业单位开展专业业务活动及辅助活动取得的收入。</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三、经营收入：指事业单位在专业业务活动及其辅助活动之外开展非独立核算经营活动取得的收入。</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四、其他收入：指除上述“财政拨款收入”“事业收入”“经营收入”等以外的收入。</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六、年初结转和结余：指以前年度尚未完成、结转到本年按有关规定继续使用的资金。</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七、结余分配：指事业单位按规定提取的职工福利基金、事业基金和缴纳的所得税，以及建设单位按规定应交回的基本建设竣工项目结余资金。</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八、年末结转和结余：指本年度或以前年度预算安排、因客观条件发生变化无法按原计划实施，需要延迟到以后年度按有关规定继续使用的资金。</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九、基本支出：指为保障机构正常运转、完成日常工作任务而发生的人员支出和公用支出。</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十、项目支出：指在基本支出之外为完成特定行政任务和事业发展目标所发生的支出。</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十一、经营支出：指事业单位在专业业务活动及其辅助活动之外开展非独立核算经营活动发生的支出。</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十四、（支出功能分类的名词解释，各部门（单位）根据实际支出情况填列，可参阅财政部印发的《2019年政府收支分类科目》）</w:t>
      </w:r>
    </w:p>
    <w:p>
      <w:pPr>
        <w:pStyle w:val="2"/>
        <w:keepNext w:val="0"/>
        <w:keepLines w:val="0"/>
        <w:widowControl/>
        <w:suppressLineNumbers w:val="0"/>
        <w:spacing w:before="450" w:beforeAutospacing="0" w:after="0" w:afterAutospacing="0" w:line="15" w:lineRule="atLeast"/>
        <w:ind w:left="0" w:right="0" w:firstLine="420"/>
      </w:pPr>
      <w:r>
        <w:rPr>
          <w:rFonts w:hint="default" w:ascii="仿宋_GB2312" w:eastAsia="仿宋_GB2312" w:cs="仿宋_GB2312"/>
          <w:sz w:val="31"/>
          <w:szCs w:val="31"/>
          <w:shd w:val="clear" w:fill="FFFFFF"/>
        </w:rPr>
        <w:t>……</w:t>
      </w:r>
    </w:p>
    <w:p>
      <w:pPr>
        <w:pStyle w:val="2"/>
        <w:keepNext w:val="0"/>
        <w:keepLines w:val="0"/>
        <w:widowControl/>
        <w:suppressLineNumbers w:val="0"/>
        <w:spacing w:before="450" w:beforeAutospacing="0" w:after="0" w:afterAutospacing="0" w:line="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2FE60"/>
    <w:multiLevelType w:val="singleLevel"/>
    <w:tmpl w:val="E132FE6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67218"/>
    <w:rsid w:val="1ECB2B82"/>
    <w:rsid w:val="2EA613CF"/>
    <w:rsid w:val="38323B0C"/>
    <w:rsid w:val="3FC82079"/>
    <w:rsid w:val="40462454"/>
    <w:rsid w:val="44305521"/>
    <w:rsid w:val="4DF73DC8"/>
    <w:rsid w:val="53843E7D"/>
    <w:rsid w:val="5E28382A"/>
    <w:rsid w:val="5FE2202C"/>
    <w:rsid w:val="6F254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34343"/>
      <w:u w:val="none"/>
    </w:rPr>
  </w:style>
  <w:style w:type="character" w:styleId="7">
    <w:name w:val="Emphasis"/>
    <w:basedOn w:val="4"/>
    <w:qFormat/>
    <w:uiPriority w:val="0"/>
  </w:style>
  <w:style w:type="character" w:styleId="8">
    <w:name w:val="Hyperlink"/>
    <w:basedOn w:val="4"/>
    <w:uiPriority w:val="0"/>
    <w:rPr>
      <w:color w:val="434343"/>
      <w:u w:val="none"/>
    </w:rPr>
  </w:style>
  <w:style w:type="character" w:customStyle="1" w:styleId="9">
    <w:name w:val="r-5-l-sp1"/>
    <w:basedOn w:val="4"/>
    <w:uiPriority w:val="0"/>
  </w:style>
  <w:style w:type="character" w:customStyle="1" w:styleId="10">
    <w:name w:val="hover78"/>
    <w:basedOn w:val="4"/>
    <w:uiPriority w:val="0"/>
    <w:rPr>
      <w:shd w:val="clear" w:fill="277E37"/>
    </w:rPr>
  </w:style>
  <w:style w:type="character" w:customStyle="1" w:styleId="11">
    <w:name w:val="r-5-l-sp3"/>
    <w:basedOn w:val="4"/>
    <w:uiPriority w:val="0"/>
  </w:style>
  <w:style w:type="character" w:customStyle="1" w:styleId="12">
    <w:name w:val="bsfw-sp3"/>
    <w:basedOn w:val="4"/>
    <w:uiPriority w:val="0"/>
  </w:style>
  <w:style w:type="character" w:customStyle="1" w:styleId="13">
    <w:name w:val="r-5-l-sp2"/>
    <w:basedOn w:val="4"/>
    <w:uiPriority w:val="0"/>
  </w:style>
  <w:style w:type="character" w:customStyle="1" w:styleId="14">
    <w:name w:val="hdxdata"/>
    <w:basedOn w:val="4"/>
    <w:uiPriority w:val="0"/>
  </w:style>
  <w:style w:type="character" w:customStyle="1" w:styleId="15">
    <w:name w:val="hdxdata1"/>
    <w:basedOn w:val="4"/>
    <w:uiPriority w:val="0"/>
  </w:style>
  <w:style w:type="character" w:customStyle="1" w:styleId="16">
    <w:name w:val="hdjl-x-l-m-sp2"/>
    <w:basedOn w:val="4"/>
    <w:uiPriority w:val="0"/>
  </w:style>
  <w:style w:type="character" w:customStyle="1" w:styleId="17">
    <w:name w:val="zx-span2"/>
    <w:basedOn w:val="4"/>
    <w:uiPriority w:val="0"/>
  </w:style>
  <w:style w:type="character" w:customStyle="1" w:styleId="18">
    <w:name w:val="hdjl-x-l-x-sp1"/>
    <w:basedOn w:val="4"/>
    <w:uiPriority w:val="0"/>
    <w:rPr>
      <w:color w:val="BFBFBF"/>
      <w:sz w:val="24"/>
      <w:szCs w:val="24"/>
    </w:rPr>
  </w:style>
  <w:style w:type="character" w:customStyle="1" w:styleId="19">
    <w:name w:val="zx-span1"/>
    <w:basedOn w:val="4"/>
    <w:uiPriority w:val="0"/>
  </w:style>
  <w:style w:type="character" w:customStyle="1" w:styleId="20">
    <w:name w:val="zx-span11"/>
    <w:basedOn w:val="4"/>
    <w:uiPriority w:val="0"/>
    <w:rPr>
      <w:color w:val="FFFFFF"/>
    </w:rPr>
  </w:style>
  <w:style w:type="character" w:customStyle="1" w:styleId="21">
    <w:name w:val="zx-span3"/>
    <w:basedOn w:val="4"/>
    <w:uiPriority w:val="0"/>
  </w:style>
  <w:style w:type="character" w:customStyle="1" w:styleId="22">
    <w:name w:val="zx-span31"/>
    <w:basedOn w:val="4"/>
    <w:qFormat/>
    <w:uiPriority w:val="0"/>
    <w:rPr>
      <w:color w:val="FFFFFF"/>
    </w:rPr>
  </w:style>
  <w:style w:type="character" w:customStyle="1" w:styleId="23">
    <w:name w:val="zx-span4"/>
    <w:basedOn w:val="4"/>
    <w:qFormat/>
    <w:uiPriority w:val="0"/>
  </w:style>
  <w:style w:type="character" w:customStyle="1" w:styleId="24">
    <w:name w:val="zx-span41"/>
    <w:basedOn w:val="4"/>
    <w:qFormat/>
    <w:uiPriority w:val="0"/>
    <w:rPr>
      <w:color w:val="FFFFFF"/>
    </w:rPr>
  </w:style>
  <w:style w:type="character" w:customStyle="1" w:styleId="25">
    <w:name w:val="zx-span5"/>
    <w:basedOn w:val="4"/>
    <w:qFormat/>
    <w:uiPriority w:val="0"/>
  </w:style>
  <w:style w:type="character" w:customStyle="1" w:styleId="26">
    <w:name w:val="zx-span51"/>
    <w:basedOn w:val="4"/>
    <w:qFormat/>
    <w:uiPriority w:val="0"/>
    <w:rPr>
      <w:color w:val="FFFFFF"/>
    </w:rPr>
  </w:style>
  <w:style w:type="character" w:customStyle="1" w:styleId="27">
    <w:name w:val="hdjl-x-l-m-sp4"/>
    <w:basedOn w:val="4"/>
    <w:qFormat/>
    <w:uiPriority w:val="0"/>
  </w:style>
  <w:style w:type="character" w:customStyle="1" w:styleId="28">
    <w:name w:val="hdjl-x-l-x-sp3"/>
    <w:basedOn w:val="4"/>
    <w:qFormat/>
    <w:uiPriority w:val="0"/>
    <w:rPr>
      <w:color w:val="BFBFBF"/>
      <w:sz w:val="18"/>
      <w:szCs w:val="18"/>
    </w:rPr>
  </w:style>
  <w:style w:type="character" w:customStyle="1" w:styleId="29">
    <w:name w:val="zx-xuan4"/>
    <w:basedOn w:val="4"/>
    <w:qFormat/>
    <w:uiPriority w:val="0"/>
    <w:rPr>
      <w:shd w:val="clear" w:fill="FFFFFF"/>
    </w:rPr>
  </w:style>
  <w:style w:type="character" w:customStyle="1" w:styleId="30">
    <w:name w:val="time"/>
    <w:basedOn w:val="4"/>
    <w:qFormat/>
    <w:uiPriority w:val="0"/>
    <w:rPr>
      <w:color w:val="AAAAAA"/>
    </w:rPr>
  </w:style>
  <w:style w:type="character" w:customStyle="1" w:styleId="31">
    <w:name w:val="zx-xuan15"/>
    <w:basedOn w:val="4"/>
    <w:qFormat/>
    <w:uiPriority w:val="0"/>
    <w:rPr>
      <w:color w:val="FFFFFF"/>
    </w:rPr>
  </w:style>
  <w:style w:type="character" w:customStyle="1" w:styleId="32">
    <w:name w:val="hdjl-x-l-m-sp1"/>
    <w:basedOn w:val="4"/>
    <w:qFormat/>
    <w:uiPriority w:val="0"/>
  </w:style>
  <w:style w:type="character" w:customStyle="1" w:styleId="33">
    <w:name w:val="hdjl-x-l-m-sp3"/>
    <w:basedOn w:val="4"/>
    <w:qFormat/>
    <w:uiPriority w:val="0"/>
  </w:style>
  <w:style w:type="character" w:customStyle="1" w:styleId="34">
    <w:name w:val="bsfw-sp1"/>
    <w:basedOn w:val="4"/>
    <w:qFormat/>
    <w:uiPriority w:val="0"/>
  </w:style>
  <w:style w:type="character" w:customStyle="1" w:styleId="35">
    <w:name w:val="bsfw-sp11"/>
    <w:basedOn w:val="4"/>
    <w:qFormat/>
    <w:uiPriority w:val="0"/>
    <w:rPr>
      <w:color w:val="FFFFFF"/>
      <w:shd w:val="clear" w:fill="277E37"/>
    </w:rPr>
  </w:style>
  <w:style w:type="character" w:customStyle="1" w:styleId="36">
    <w:name w:val="bsfw-sp2"/>
    <w:basedOn w:val="4"/>
    <w:qFormat/>
    <w:uiPriority w:val="0"/>
  </w:style>
  <w:style w:type="character" w:customStyle="1" w:styleId="37">
    <w:name w:val="bsfw-sp21"/>
    <w:basedOn w:val="4"/>
    <w:qFormat/>
    <w:uiPriority w:val="0"/>
    <w:rPr>
      <w:color w:val="FFFFFF"/>
      <w:shd w:val="clear" w:fill="277E37"/>
    </w:rPr>
  </w:style>
  <w:style w:type="character" w:customStyle="1" w:styleId="38">
    <w:name w:val="zx-xuan9"/>
    <w:basedOn w:val="4"/>
    <w:qFormat/>
    <w:uiPriority w:val="0"/>
    <w:rPr>
      <w:shd w:val="clear" w:fill="277E37"/>
    </w:rPr>
  </w:style>
  <w:style w:type="character" w:customStyle="1" w:styleId="39">
    <w:name w:val="zwfw-sp2"/>
    <w:basedOn w:val="4"/>
    <w:qFormat/>
    <w:uiPriority w:val="0"/>
  </w:style>
  <w:style w:type="character" w:customStyle="1" w:styleId="40">
    <w:name w:val="ndata"/>
    <w:basedOn w:val="4"/>
    <w:qFormat/>
    <w:uiPriority w:val="0"/>
    <w:rPr>
      <w:color w:val="888888"/>
      <w:sz w:val="21"/>
      <w:szCs w:val="21"/>
    </w:rPr>
  </w:style>
  <w:style w:type="character" w:customStyle="1" w:styleId="41">
    <w:name w:val="data"/>
    <w:basedOn w:val="4"/>
    <w:qFormat/>
    <w:uiPriority w:val="0"/>
    <w:rPr>
      <w:color w:val="B6B6B6"/>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2021-05-28T10:36:00Z</dcterms:created>
  <dc:creator>Administrator.USER-20201020SP</dc:creator>
  <cp:lastModifiedBy>华仔（林振华）</cp:lastModifiedBy>
  <dcterms:modified xsi:type="dcterms:W3CDTF">2021-05-31T11:30:54Z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1A26C184FEB44AD09BCF8522E9D959C5</vt:lpwstr>
  </property>
</Properties>
</file>