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Ansi="仿宋_GB2312" w:cs="仿宋_GB2312"/>
        </w:rPr>
      </w:pPr>
      <w:r>
        <w:rPr>
          <w:rFonts w:hint="eastAsia" w:hAnsi="仿宋_GB2312" w:cs="仿宋_GB2312"/>
        </w:rPr>
        <w:t>附件1：</w:t>
      </w:r>
    </w:p>
    <w:p>
      <w:pPr>
        <w:spacing w:line="560" w:lineRule="exact"/>
        <w:rPr>
          <w:rFonts w:hAnsi="仿宋_GB2312" w:cs="仿宋_GB2312"/>
        </w:rPr>
      </w:pPr>
      <w:r>
        <w:rPr>
          <w:rFonts w:hint="eastAsia" w:hAnsi="仿宋_GB2312" w:cs="仿宋_GB2312"/>
        </w:rPr>
        <w:drawing>
          <wp:anchor distT="0" distB="0" distL="114300" distR="114300" simplePos="0" relativeHeight="251662336" behindDoc="1" locked="0" layoutInCell="1" allowOverlap="1">
            <wp:simplePos x="0" y="0"/>
            <wp:positionH relativeFrom="column">
              <wp:posOffset>730250</wp:posOffset>
            </wp:positionH>
            <wp:positionV relativeFrom="paragraph">
              <wp:posOffset>-747395</wp:posOffset>
            </wp:positionV>
            <wp:extent cx="4177665" cy="5754370"/>
            <wp:effectExtent l="0" t="0" r="17780" b="13335"/>
            <wp:wrapTight wrapText="bothSides">
              <wp:wrapPolygon>
                <wp:start x="21600" y="2"/>
                <wp:lineTo x="128" y="2"/>
                <wp:lineTo x="128" y="21526"/>
                <wp:lineTo x="21600" y="21526"/>
                <wp:lineTo x="21600" y="2"/>
              </wp:wrapPolygon>
            </wp:wrapTight>
            <wp:docPr id="3" name="图片 3" descr="海南省临高县临城镇老城区城市更新项目一期勘测定界图(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海南省临高县临城镇老城区城市更新项目一期勘测定界图(1)-Model"/>
                    <pic:cNvPicPr>
                      <a:picLocks noChangeAspect="1"/>
                    </pic:cNvPicPr>
                  </pic:nvPicPr>
                  <pic:blipFill>
                    <a:blip r:embed="rId8"/>
                    <a:srcRect r="4297"/>
                    <a:stretch>
                      <a:fillRect/>
                    </a:stretch>
                  </pic:blipFill>
                  <pic:spPr>
                    <a:xfrm rot="16200000">
                      <a:off x="0" y="0"/>
                      <a:ext cx="4177665" cy="5754370"/>
                    </a:xfrm>
                    <a:prstGeom prst="rect">
                      <a:avLst/>
                    </a:prstGeom>
                  </pic:spPr>
                </pic:pic>
              </a:graphicData>
            </a:graphic>
          </wp:anchor>
        </w:drawing>
      </w:r>
      <w:r>
        <w:rPr>
          <w:rFonts w:hint="eastAsia" w:hAnsi="仿宋_GB2312" w:cs="仿宋_GB2312"/>
        </w:rPr>
        <w:drawing>
          <wp:anchor distT="0" distB="0" distL="114300" distR="114300" simplePos="0" relativeHeight="251663360" behindDoc="1" locked="0" layoutInCell="1" allowOverlap="1">
            <wp:simplePos x="0" y="0"/>
            <wp:positionH relativeFrom="column">
              <wp:posOffset>0</wp:posOffset>
            </wp:positionH>
            <wp:positionV relativeFrom="paragraph">
              <wp:posOffset>4633595</wp:posOffset>
            </wp:positionV>
            <wp:extent cx="5528310" cy="3148965"/>
            <wp:effectExtent l="0" t="0" r="15240" b="13335"/>
            <wp:wrapTight wrapText="bothSides">
              <wp:wrapPolygon>
                <wp:start x="0" y="0"/>
                <wp:lineTo x="0" y="21430"/>
                <wp:lineTo x="21511" y="21430"/>
                <wp:lineTo x="21511" y="0"/>
                <wp:lineTo x="0" y="0"/>
              </wp:wrapPolygon>
            </wp:wrapTight>
            <wp:docPr id="1" name="图片 1" descr="647de6252314411d97c7bea2e3ab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7de6252314411d97c7bea2e3ab205"/>
                    <pic:cNvPicPr>
                      <a:picLocks noChangeAspect="1"/>
                    </pic:cNvPicPr>
                  </pic:nvPicPr>
                  <pic:blipFill>
                    <a:blip r:embed="rId9"/>
                    <a:srcRect t="11395" b="8008"/>
                    <a:stretch>
                      <a:fillRect/>
                    </a:stretch>
                  </pic:blipFill>
                  <pic:spPr>
                    <a:xfrm>
                      <a:off x="0" y="0"/>
                      <a:ext cx="5528310" cy="3148965"/>
                    </a:xfrm>
                    <a:prstGeom prst="rect">
                      <a:avLst/>
                    </a:prstGeom>
                  </pic:spPr>
                </pic:pic>
              </a:graphicData>
            </a:graphic>
          </wp:anchor>
        </w:drawing>
      </w:r>
    </w:p>
    <w:p>
      <w:pPr>
        <w:spacing w:line="560" w:lineRule="exact"/>
        <w:rPr>
          <w:rFonts w:hAnsi="仿宋_GB2312" w:cs="仿宋_GB2312"/>
        </w:rPr>
      </w:pPr>
    </w:p>
    <w:p>
      <w:pPr>
        <w:spacing w:line="560" w:lineRule="exact"/>
        <w:rPr>
          <w:rFonts w:hAnsi="仿宋_GB2312" w:cs="仿宋_GB2312"/>
        </w:rPr>
      </w:pPr>
      <w:r>
        <w:rPr>
          <w:rFonts w:hint="eastAsia" w:hAnsi="仿宋_GB2312" w:cs="仿宋_GB2312"/>
        </w:rPr>
        <w:t>附件2:</w:t>
      </w:r>
    </w:p>
    <w:p>
      <w:pPr>
        <w:spacing w:line="560" w:lineRule="exact"/>
        <w:rPr>
          <w:rFonts w:hAnsi="仿宋_GB2312" w:cs="仿宋_GB2312"/>
        </w:rPr>
      </w:pPr>
      <w:r>
        <w:rPr>
          <w:rFonts w:hAnsi="仿宋_GB2312" w:cs="仿宋_GB2312"/>
        </w:rPr>
        <w:drawing>
          <wp:anchor distT="0" distB="0" distL="114300" distR="114300" simplePos="0" relativeHeight="251664384" behindDoc="1" locked="0" layoutInCell="1" allowOverlap="1">
            <wp:simplePos x="0" y="0"/>
            <wp:positionH relativeFrom="column">
              <wp:posOffset>-772795</wp:posOffset>
            </wp:positionH>
            <wp:positionV relativeFrom="paragraph">
              <wp:posOffset>1644015</wp:posOffset>
            </wp:positionV>
            <wp:extent cx="7491095" cy="4331970"/>
            <wp:effectExtent l="0" t="0" r="11430" b="14605"/>
            <wp:wrapTight wrapText="bothSides">
              <wp:wrapPolygon>
                <wp:start x="2" y="21600"/>
                <wp:lineTo x="21534" y="21600"/>
                <wp:lineTo x="21534" y="133"/>
                <wp:lineTo x="2" y="133"/>
                <wp:lineTo x="2" y="21600"/>
              </wp:wrapPolygon>
            </wp:wrapTight>
            <wp:docPr id="2" name="图片 2" descr="c52f37b69e2d7955401f8b9ff390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52f37b69e2d7955401f8b9ff3905c2"/>
                    <pic:cNvPicPr>
                      <a:picLocks noChangeAspect="1"/>
                    </pic:cNvPicPr>
                  </pic:nvPicPr>
                  <pic:blipFill>
                    <a:blip r:embed="rId10"/>
                    <a:stretch>
                      <a:fillRect/>
                    </a:stretch>
                  </pic:blipFill>
                  <pic:spPr>
                    <a:xfrm rot="5400000">
                      <a:off x="0" y="0"/>
                      <a:ext cx="7491095" cy="4331970"/>
                    </a:xfrm>
                    <a:prstGeom prst="rect">
                      <a:avLst/>
                    </a:prstGeom>
                  </pic:spPr>
                </pic:pic>
              </a:graphicData>
            </a:graphic>
          </wp:anchor>
        </w:drawing>
      </w:r>
    </w:p>
    <w:p>
      <w:pPr>
        <w:spacing w:line="560" w:lineRule="exact"/>
        <w:rPr>
          <w:rFonts w:hAnsi="仿宋_GB2312" w:cs="仿宋_GB2312"/>
        </w:rPr>
      </w:pPr>
      <w:r>
        <w:rPr>
          <w:rFonts w:hint="eastAsia" w:hAnsi="仿宋_GB2312" w:cs="仿宋_GB2312"/>
        </w:rPr>
        <w:t xml:space="preserve"> </w:t>
      </w: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Ansi="仿宋_GB2312" w:cs="仿宋_GB2312"/>
        </w:rPr>
      </w:pPr>
    </w:p>
    <w:p>
      <w:pPr>
        <w:spacing w:line="560" w:lineRule="exact"/>
        <w:rPr>
          <w:rFonts w:hint="eastAsia" w:hAnsi="仿宋_GB2312" w:cs="仿宋_GB2312"/>
        </w:rPr>
      </w:pPr>
      <w:r>
        <w:rPr>
          <w:rFonts w:hint="eastAsia" w:hAnsi="仿宋_GB2312" w:cs="仿宋_GB2312"/>
        </w:rPr>
        <w:t>附件3：</w:t>
      </w:r>
    </w:p>
    <w:p>
      <w:pPr>
        <w:spacing w:line="560" w:lineRule="exact"/>
        <w:rPr>
          <w:rFonts w:hint="eastAsia" w:hAnsi="仿宋_GB2312" w:cs="仿宋_GB2312"/>
        </w:rPr>
      </w:pPr>
    </w:p>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海南省临高县老城区城市更新项目一期</w:t>
      </w:r>
    </w:p>
    <w:p>
      <w:pPr>
        <w:spacing w:line="56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国有土地上房屋征收补偿安置方案</w:t>
      </w:r>
    </w:p>
    <w:p>
      <w:pPr>
        <w:spacing w:line="560" w:lineRule="exact"/>
        <w:jc w:val="center"/>
        <w:rPr>
          <w:rFonts w:hAnsi="仿宋_GB2312" w:cs="仿宋_GB2312"/>
          <w:b/>
        </w:rPr>
      </w:pPr>
      <w:r>
        <w:rPr>
          <w:rFonts w:hint="eastAsia" w:hAnsi="仿宋_GB2312" w:cs="仿宋_GB2312"/>
          <w:b/>
        </w:rPr>
        <w:t xml:space="preserve"> </w:t>
      </w:r>
    </w:p>
    <w:p>
      <w:pPr>
        <w:spacing w:line="560" w:lineRule="exact"/>
        <w:ind w:firstLine="632" w:firstLineChars="200"/>
        <w:rPr>
          <w:rFonts w:hAnsi="仿宋_GB2312" w:cs="仿宋_GB2312"/>
          <w:kern w:val="10"/>
        </w:rPr>
      </w:pPr>
      <w:r>
        <w:rPr>
          <w:rFonts w:hint="eastAsia" w:hAnsi="仿宋_GB2312" w:cs="仿宋_GB2312"/>
          <w:kern w:val="10"/>
        </w:rPr>
        <w:t>为</w:t>
      </w:r>
      <w:r>
        <w:rPr>
          <w:rFonts w:hint="eastAsia" w:hAnsi="仿宋" w:cs="仿宋_GB2312"/>
        </w:rPr>
        <w:t>加快临高县城市化进程，</w:t>
      </w:r>
      <w:r>
        <w:rPr>
          <w:rFonts w:hint="eastAsia" w:hAnsi="仿宋_GB2312" w:cs="仿宋_GB2312"/>
          <w:kern w:val="10"/>
        </w:rPr>
        <w:t>完善基础设施建设，改善居民生活环境，提升城市品质和形象，促进经济社会高质量发展，助力海南自由贸易港建设，满足广大人民群众对美好生活的向往。根据《中华人民共和国土地管理法》、《中华人民共和国城乡规划法》、</w:t>
      </w:r>
      <w:r>
        <w:rPr>
          <w:rFonts w:hint="eastAsia" w:hAnsi="仿宋_GB2312" w:cs="仿宋_GB2312"/>
          <w:kern w:val="10"/>
          <w:lang w:eastAsia="zh-Hans"/>
        </w:rPr>
        <w:t>《中华人民共和国城市房地产管理法》、</w:t>
      </w:r>
      <w:r>
        <w:rPr>
          <w:rFonts w:hint="eastAsia" w:hAnsi="仿宋_GB2312" w:cs="仿宋_GB2312"/>
          <w:kern w:val="10"/>
        </w:rPr>
        <w:t>《中华人民共和国民法典》、《国有土地上房屋征收与补偿条例》</w:t>
      </w:r>
      <w:r>
        <w:rPr>
          <w:rFonts w:hint="eastAsia" w:hAnsi="仿宋_GB2312" w:cs="仿宋_GB2312"/>
          <w:kern w:val="10"/>
          <w:lang w:eastAsia="zh-Hans"/>
        </w:rPr>
        <w:t>、《海南经济特区土地管理条例》</w:t>
      </w:r>
      <w:r>
        <w:rPr>
          <w:rFonts w:hint="eastAsia" w:hAnsi="仿宋_GB2312" w:cs="仿宋_GB2312"/>
          <w:kern w:val="10"/>
        </w:rPr>
        <w:t>等法律法规及相关政策规定，结合</w:t>
      </w:r>
      <w:r>
        <w:rPr>
          <w:rFonts w:hint="eastAsia" w:hAnsi="仿宋_GB2312" w:cs="仿宋_GB2312"/>
        </w:rPr>
        <w:t>海南省临高县老城区城市更新项目一期（以下简称“本项目”）实际情况</w:t>
      </w:r>
      <w:r>
        <w:rPr>
          <w:rFonts w:hint="eastAsia" w:hAnsi="仿宋_GB2312" w:cs="仿宋_GB2312"/>
          <w:kern w:val="10"/>
        </w:rPr>
        <w:t>，制定本方案。</w:t>
      </w:r>
    </w:p>
    <w:p>
      <w:pPr>
        <w:spacing w:line="560" w:lineRule="exact"/>
        <w:jc w:val="center"/>
        <w:rPr>
          <w:rFonts w:hint="eastAsia" w:ascii="黑体" w:hAnsi="黑体" w:eastAsia="黑体" w:cs="黑体"/>
          <w:b w:val="0"/>
          <w:bCs/>
        </w:rPr>
      </w:pPr>
      <w:r>
        <w:rPr>
          <w:rFonts w:hint="eastAsia" w:ascii="黑体" w:hAnsi="黑体" w:eastAsia="黑体" w:cs="黑体"/>
          <w:b w:val="0"/>
          <w:bCs/>
        </w:rPr>
        <w:t>第一章 总 则</w:t>
      </w:r>
    </w:p>
    <w:p>
      <w:pPr>
        <w:spacing w:line="560" w:lineRule="exact"/>
        <w:ind w:firstLine="632" w:firstLineChars="200"/>
        <w:rPr>
          <w:rFonts w:hAnsi="仿宋" w:cs="仿宋_GB2312"/>
        </w:rPr>
      </w:pPr>
      <w:r>
        <w:rPr>
          <w:rFonts w:hint="eastAsia" w:hAnsi="仿宋" w:cs="仿宋_GB2312"/>
          <w:b/>
        </w:rPr>
        <w:t xml:space="preserve">第一条 </w:t>
      </w:r>
      <w:r>
        <w:rPr>
          <w:rFonts w:hint="eastAsia" w:hAnsi="仿宋_GB2312" w:cs="仿宋_GB2312"/>
        </w:rPr>
        <w:t>临高县人民政府为本项目征收补偿安置主体，临高县住房和城乡建设局为县政府确定的房屋征收部门，临城镇人民政府受房屋征收部门委托作为房屋征收实施单位。县人民政府其他行政管理部门和属地镇政府按照各自职责，协助做好本项目房屋征收与补偿工作。红线范围内土地、房屋及</w:t>
      </w:r>
      <w:r>
        <w:rPr>
          <w:rFonts w:hint="eastAsia" w:hAnsi="仿宋_GB2312" w:cs="仿宋_GB2312"/>
          <w:lang w:eastAsia="zh-Hans"/>
        </w:rPr>
        <w:t>其他</w:t>
      </w:r>
      <w:r>
        <w:rPr>
          <w:rFonts w:hint="eastAsia" w:hAnsi="仿宋_GB2312" w:cs="仿宋_GB2312"/>
        </w:rPr>
        <w:t>附属物的权属人为被征收人。</w:t>
      </w:r>
    </w:p>
    <w:p>
      <w:pPr>
        <w:spacing w:line="560" w:lineRule="exact"/>
        <w:ind w:firstLine="632" w:firstLineChars="200"/>
        <w:rPr>
          <w:rFonts w:hAnsi="仿宋" w:cs="仿宋_GB2312"/>
          <w:b/>
        </w:rPr>
      </w:pPr>
      <w:r>
        <w:rPr>
          <w:rFonts w:hint="eastAsia" w:hAnsi="仿宋" w:cs="仿宋_GB2312"/>
          <w:b/>
        </w:rPr>
        <w:t xml:space="preserve">第二条 </w:t>
      </w:r>
      <w:r>
        <w:rPr>
          <w:rFonts w:hint="eastAsia" w:hAnsi="仿宋_GB2312" w:cs="仿宋_GB2312"/>
        </w:rPr>
        <w:t>本项目</w:t>
      </w:r>
      <w:r>
        <w:rPr>
          <w:rFonts w:hint="eastAsia" w:hAnsi="仿宋_GB2312" w:cs="仿宋_GB2312"/>
          <w:lang w:eastAsia="zh-Hans"/>
        </w:rPr>
        <w:t>征收</w:t>
      </w:r>
      <w:r>
        <w:rPr>
          <w:rFonts w:hint="eastAsia" w:hAnsi="仿宋_GB2312" w:cs="仿宋_GB2312"/>
        </w:rPr>
        <w:t>四至范围北至跃进路，南至江北路，西至四桥，东至一桥（具体范围以</w:t>
      </w:r>
      <w:r>
        <w:rPr>
          <w:rFonts w:hint="eastAsia" w:hAnsi="仿宋_GB2312" w:cs="仿宋_GB2312"/>
          <w:lang w:eastAsia="zh-Hans"/>
        </w:rPr>
        <w:t>征收</w:t>
      </w:r>
      <w:r>
        <w:rPr>
          <w:rFonts w:hint="eastAsia" w:hAnsi="仿宋_GB2312" w:cs="仿宋_GB2312"/>
        </w:rPr>
        <w:t>红线为准）。</w:t>
      </w:r>
    </w:p>
    <w:p>
      <w:pPr>
        <w:spacing w:line="560" w:lineRule="exact"/>
        <w:ind w:firstLine="632" w:firstLineChars="200"/>
        <w:rPr>
          <w:rFonts w:hAnsi="仿宋" w:cs="仿宋_GB2312"/>
        </w:rPr>
      </w:pPr>
      <w:r>
        <w:rPr>
          <w:rFonts w:hint="eastAsia" w:hAnsi="仿宋" w:cs="仿宋_GB2312"/>
          <w:b/>
        </w:rPr>
        <w:t xml:space="preserve">第三条 </w:t>
      </w:r>
      <w:r>
        <w:rPr>
          <w:rFonts w:hint="eastAsia" w:hAnsi="仿宋" w:cs="仿宋_GB2312"/>
        </w:rPr>
        <w:t>本项目征收补偿采取产权调换（实物）、货币补偿、产权调换（实物）与货币补偿相结合三种方式，由被征收人自行选定。</w:t>
      </w:r>
    </w:p>
    <w:p>
      <w:pPr>
        <w:spacing w:line="560" w:lineRule="exact"/>
        <w:ind w:firstLine="632" w:firstLineChars="200"/>
        <w:textAlignment w:val="baseline"/>
        <w:rPr>
          <w:rFonts w:hAnsi="仿宋" w:cs="仿宋_GB2312"/>
          <w:b/>
        </w:rPr>
      </w:pPr>
      <w:r>
        <w:rPr>
          <w:rFonts w:hint="eastAsia" w:hAnsi="仿宋" w:cs="仿宋_GB2312"/>
          <w:b/>
        </w:rPr>
        <w:t xml:space="preserve">第四条 </w:t>
      </w:r>
      <w:r>
        <w:rPr>
          <w:rFonts w:hint="eastAsia" w:hAnsi="仿宋" w:cs="仿宋_GB2312"/>
        </w:rPr>
        <w:t>本项目涉及的房屋及土地评估补偿分为房地合估和房地分估两种方式，由被征收人自行选择。</w:t>
      </w:r>
      <w:r>
        <w:rPr>
          <w:rFonts w:hint="eastAsia" w:hAnsi="仿宋_GB2312" w:cs="仿宋_GB2312"/>
        </w:rPr>
        <w:t>被征收房屋的补偿，根据区位、面积、结构、用途等因素，以被征收房屋周边区域类似房地产市场评估价确定。被征收房屋的面积、结构、用途以房屋权属证书记载为准。实际面积、结构、用途与产权证书记载不一致或未登记的，以临高县人民政府依法调查、测绘并认定的结果为准。</w:t>
      </w:r>
    </w:p>
    <w:p>
      <w:pPr>
        <w:spacing w:line="560" w:lineRule="exact"/>
        <w:ind w:firstLine="632" w:firstLineChars="200"/>
        <w:rPr>
          <w:rFonts w:hAnsi="仿宋_GB2312" w:cs="仿宋_GB2312"/>
        </w:rPr>
      </w:pPr>
      <w:r>
        <w:rPr>
          <w:rFonts w:hint="eastAsia" w:hAnsi="仿宋_GB2312" w:cs="仿宋_GB2312"/>
        </w:rPr>
        <w:t>本方案所指现状房屋均属同一宗土地上所有房屋（含框架、混合、砖木三种结构）,不含简易结构和附属物。所指房屋面积均指建筑面积。</w:t>
      </w:r>
    </w:p>
    <w:p>
      <w:pPr>
        <w:spacing w:line="560" w:lineRule="exact"/>
        <w:ind w:firstLine="632" w:firstLineChars="200"/>
        <w:rPr>
          <w:rFonts w:hAnsi="仿宋" w:cs="仿宋_GB2312"/>
          <w:b/>
        </w:rPr>
      </w:pPr>
      <w:r>
        <w:rPr>
          <w:rFonts w:hint="eastAsia" w:hAnsi="仿宋" w:cs="仿宋_GB2312"/>
          <w:b/>
        </w:rPr>
        <w:t xml:space="preserve">第五条 </w:t>
      </w:r>
      <w:r>
        <w:rPr>
          <w:rFonts w:hint="eastAsia" w:hAnsi="仿宋" w:cs="仿宋_GB2312"/>
        </w:rPr>
        <w:t>被征收人应在征收决定规定的签约之日起120日内（含），签订征收补偿安置协议。</w:t>
      </w:r>
    </w:p>
    <w:p>
      <w:pPr>
        <w:spacing w:line="560" w:lineRule="exact"/>
        <w:jc w:val="center"/>
        <w:rPr>
          <w:rFonts w:hint="eastAsia" w:ascii="黑体" w:hAnsi="黑体" w:eastAsia="黑体" w:cs="黑体"/>
          <w:b w:val="0"/>
          <w:bCs/>
        </w:rPr>
      </w:pPr>
      <w:r>
        <w:rPr>
          <w:rFonts w:hint="eastAsia" w:ascii="黑体" w:hAnsi="黑体" w:eastAsia="黑体" w:cs="黑体"/>
          <w:b w:val="0"/>
          <w:bCs/>
        </w:rPr>
        <w:t>第二章 补 偿</w:t>
      </w:r>
    </w:p>
    <w:p>
      <w:pPr>
        <w:spacing w:line="560" w:lineRule="exact"/>
        <w:ind w:firstLine="632" w:firstLineChars="200"/>
        <w:textAlignment w:val="baseline"/>
        <w:rPr>
          <w:rFonts w:hAnsi="仿宋" w:cs="仿宋_GB2312"/>
          <w:b/>
        </w:rPr>
      </w:pPr>
      <w:r>
        <w:rPr>
          <w:rFonts w:hint="eastAsia" w:hAnsi="仿宋" w:cs="仿宋_GB2312"/>
          <w:b/>
        </w:rPr>
        <w:t xml:space="preserve">第六条 </w:t>
      </w:r>
      <w:r>
        <w:rPr>
          <w:rFonts w:hint="eastAsia" w:hAnsi="仿宋" w:cs="仿宋_GB2312"/>
        </w:rPr>
        <w:t>土地补偿</w:t>
      </w:r>
    </w:p>
    <w:p>
      <w:pPr>
        <w:spacing w:line="560" w:lineRule="exact"/>
        <w:ind w:firstLine="632" w:firstLineChars="200"/>
        <w:rPr>
          <w:rFonts w:hAnsi="仿宋" w:cs="仿宋_GB2312"/>
        </w:rPr>
      </w:pPr>
      <w:r>
        <w:rPr>
          <w:rFonts w:hint="eastAsia" w:hAnsi="仿宋" w:cs="仿宋_GB2312"/>
        </w:rPr>
        <w:t>一、</w:t>
      </w:r>
      <w:r>
        <w:rPr>
          <w:rFonts w:hint="eastAsia"/>
        </w:rPr>
        <w:t>国有土地使用权属于以出让方式取得的，按类似土地市场评估价对土地使用权人给予补偿。</w:t>
      </w:r>
    </w:p>
    <w:p>
      <w:pPr>
        <w:autoSpaceDE w:val="0"/>
        <w:autoSpaceDN w:val="0"/>
        <w:adjustRightInd w:val="0"/>
        <w:spacing w:line="560" w:lineRule="exact"/>
        <w:ind w:firstLine="632" w:firstLineChars="200"/>
        <w:rPr>
          <w:rFonts w:hAnsi="仿宋" w:cs="仿宋_GB2312"/>
        </w:rPr>
      </w:pPr>
      <w:r>
        <w:rPr>
          <w:rFonts w:hint="eastAsia" w:hAnsi="仿宋" w:cs="仿宋_GB2312"/>
        </w:rPr>
        <w:t>二、因“村改居”等历史原因，国有土地使用权属于以无偿或者划拨方式取得的居民住宅用地，按出让方式取得的城镇住宅用地使用权评估价给予补偿。</w:t>
      </w:r>
    </w:p>
    <w:p>
      <w:pPr>
        <w:autoSpaceDE w:val="0"/>
        <w:autoSpaceDN w:val="0"/>
        <w:adjustRightInd w:val="0"/>
        <w:spacing w:line="560" w:lineRule="exact"/>
        <w:ind w:firstLine="632" w:firstLineChars="200"/>
        <w:rPr>
          <w:rFonts w:hAnsi="仿宋" w:cs="仿宋_GB2312"/>
        </w:rPr>
      </w:pPr>
      <w:r>
        <w:rPr>
          <w:rFonts w:hint="eastAsia" w:hAnsi="仿宋" w:cs="仿宋_GB2312"/>
        </w:rPr>
        <w:t>三、</w:t>
      </w:r>
      <w:r>
        <w:rPr>
          <w:rFonts w:hint="eastAsia" w:hAnsi="仿宋" w:cs="仿宋_GB2312"/>
          <w:lang w:eastAsia="zh-Hans"/>
        </w:rPr>
        <w:t>被征收人选择</w:t>
      </w:r>
      <w:r>
        <w:rPr>
          <w:rFonts w:hint="eastAsia" w:hAnsi="仿宋" w:cs="仿宋_GB2312"/>
        </w:rPr>
        <w:t>房地合估的土地不予单独补偿。</w:t>
      </w:r>
    </w:p>
    <w:p>
      <w:pPr>
        <w:autoSpaceDE w:val="0"/>
        <w:autoSpaceDN w:val="0"/>
        <w:adjustRightInd w:val="0"/>
        <w:spacing w:line="560" w:lineRule="exact"/>
        <w:ind w:firstLine="632" w:firstLineChars="200"/>
        <w:rPr>
          <w:rFonts w:hAnsi="仿宋" w:cs="仿宋_GB2312"/>
          <w:b/>
        </w:rPr>
      </w:pPr>
      <w:r>
        <w:rPr>
          <w:rFonts w:hint="eastAsia" w:hAnsi="仿宋" w:cs="仿宋_GB2312"/>
          <w:b/>
        </w:rPr>
        <w:t xml:space="preserve">第七条 </w:t>
      </w:r>
      <w:r>
        <w:rPr>
          <w:rFonts w:hint="eastAsia" w:hAnsi="仿宋" w:cs="仿宋_GB2312"/>
          <w:bCs/>
        </w:rPr>
        <w:t>房屋补偿</w:t>
      </w:r>
    </w:p>
    <w:p>
      <w:pPr>
        <w:autoSpaceDE w:val="0"/>
        <w:autoSpaceDN w:val="0"/>
        <w:adjustRightInd w:val="0"/>
        <w:spacing w:line="560" w:lineRule="exact"/>
        <w:ind w:firstLine="632" w:firstLineChars="200"/>
        <w:rPr>
          <w:rFonts w:hAnsi="仿宋" w:cs="仿宋_GB2312"/>
        </w:rPr>
      </w:pPr>
      <w:r>
        <w:rPr>
          <w:rFonts w:hint="eastAsia" w:hAnsi="仿宋" w:cs="仿宋_GB2312"/>
        </w:rPr>
        <w:t>一、被征收房屋符合下列条件之一的,予以补偿:</w:t>
      </w:r>
    </w:p>
    <w:p>
      <w:pPr>
        <w:spacing w:line="560" w:lineRule="exact"/>
        <w:ind w:firstLine="632" w:firstLineChars="200"/>
        <w:rPr>
          <w:rFonts w:hAnsi="仿宋" w:cs="仿宋_GB2312"/>
        </w:rPr>
      </w:pPr>
      <w:r>
        <w:rPr>
          <w:rFonts w:hint="eastAsia" w:hAnsi="仿宋" w:cs="仿宋_GB2312"/>
        </w:rPr>
        <w:t>（一）有合法房屋权属证书或有合法批建手续的房屋及房屋部分。</w:t>
      </w:r>
    </w:p>
    <w:p>
      <w:pPr>
        <w:spacing w:line="560" w:lineRule="exact"/>
        <w:ind w:firstLine="632" w:firstLineChars="200"/>
        <w:rPr>
          <w:rFonts w:hAnsi="仿宋" w:cs="仿宋_GB2312"/>
        </w:rPr>
      </w:pPr>
      <w:r>
        <w:rPr>
          <w:rFonts w:hint="eastAsia" w:hAnsi="仿宋" w:cs="仿宋_GB2312"/>
        </w:rPr>
        <w:t>（二）未超过批准期限并</w:t>
      </w:r>
      <w:r>
        <w:rPr>
          <w:rFonts w:hint="eastAsia"/>
        </w:rPr>
        <w:t>未形成永久性建筑或设施</w:t>
      </w:r>
      <w:r>
        <w:rPr>
          <w:rFonts w:hint="eastAsia" w:hAnsi="仿宋" w:cs="仿宋_GB2312"/>
        </w:rPr>
        <w:t>的临时建筑,按批准使用的剩余期限予以实际评估补偿。</w:t>
      </w:r>
    </w:p>
    <w:p>
      <w:pPr>
        <w:spacing w:line="560" w:lineRule="exact"/>
        <w:ind w:firstLine="632" w:firstLineChars="200"/>
        <w:rPr>
          <w:rFonts w:hAnsi="仿宋" w:cs="仿宋_GB2312"/>
        </w:rPr>
      </w:pPr>
      <w:r>
        <w:rPr>
          <w:rFonts w:hint="eastAsia" w:hAnsi="仿宋" w:cs="仿宋_GB2312"/>
        </w:rPr>
        <w:t>（三）因历史原因，无合法房屋权属证书或合法批建手续的个人住宅类房屋，未被认定为违法建筑的房屋及房屋部分。</w:t>
      </w:r>
    </w:p>
    <w:p>
      <w:pPr>
        <w:spacing w:line="560" w:lineRule="exact"/>
        <w:ind w:firstLine="738"/>
        <w:rPr>
          <w:rFonts w:hAnsi="仿宋" w:cs="仿宋_GB2312"/>
        </w:rPr>
      </w:pPr>
      <w:r>
        <w:rPr>
          <w:rFonts w:hint="eastAsia" w:hAnsi="仿宋" w:cs="仿宋_GB2312"/>
          <w:b/>
        </w:rPr>
        <w:t>二、</w:t>
      </w:r>
      <w:r>
        <w:rPr>
          <w:rFonts w:hint="eastAsia" w:hAnsi="仿宋" w:cs="仿宋_GB2312"/>
          <w:bCs/>
        </w:rPr>
        <w:t xml:space="preserve">被征收房屋属于单位职工居住或按房改政策购买的本县单位公有住房，按以下方式补偿。 </w:t>
      </w:r>
    </w:p>
    <w:p>
      <w:pPr>
        <w:spacing w:line="560" w:lineRule="exact"/>
        <w:ind w:firstLine="632" w:firstLineChars="200"/>
        <w:rPr>
          <w:rFonts w:hAnsi="仿宋" w:cs="仿宋_GB2312"/>
        </w:rPr>
      </w:pPr>
      <w:r>
        <w:rPr>
          <w:rFonts w:hint="eastAsia" w:hAnsi="仿宋" w:cs="仿宋_GB2312"/>
        </w:rPr>
        <w:t xml:space="preserve">（一）职工原经省或县房改办批准按完全产权购买单位公有住房，且已按省或县房改办核定房价款额交清相应款项，或已按省或县房改办核定房价款额缴交了部分房价款但经产权单位同意并由职工补足相应房价款的，对购房职工予以补偿。 </w:t>
      </w:r>
    </w:p>
    <w:p>
      <w:pPr>
        <w:spacing w:line="560" w:lineRule="exact"/>
        <w:ind w:firstLine="632" w:firstLineChars="200"/>
        <w:rPr>
          <w:rFonts w:hAnsi="仿宋" w:cs="仿宋_GB2312"/>
        </w:rPr>
      </w:pPr>
      <w:r>
        <w:rPr>
          <w:rFonts w:hint="eastAsia" w:hAnsi="仿宋" w:cs="仿宋_GB2312"/>
        </w:rPr>
        <w:t xml:space="preserve">（二）职工原经省或县房改办批准按部分产权购买单位公有住房，且已按省或县房改办核定房价款额交清相应房价款项的，根据产权比例对房屋权利人予以补偿。 </w:t>
      </w:r>
    </w:p>
    <w:p>
      <w:pPr>
        <w:spacing w:line="560" w:lineRule="exact"/>
        <w:ind w:firstLine="632" w:firstLineChars="200"/>
        <w:rPr>
          <w:rFonts w:hAnsi="仿宋" w:cs="仿宋_GB2312"/>
        </w:rPr>
      </w:pPr>
      <w:r>
        <w:rPr>
          <w:rFonts w:hint="eastAsia" w:hAnsi="仿宋" w:cs="仿宋_GB2312"/>
        </w:rPr>
        <w:t>如本方案未涉及的房屋类别，</w:t>
      </w:r>
      <w:r>
        <w:rPr>
          <w:rFonts w:hint="eastAsia" w:hAnsi="仿宋" w:cs="仿宋_GB2312"/>
          <w:lang w:eastAsia="zh-Hans"/>
        </w:rPr>
        <w:t>符合补偿条件的，</w:t>
      </w:r>
      <w:r>
        <w:rPr>
          <w:rFonts w:hint="eastAsia" w:hAnsi="仿宋" w:cs="仿宋_GB2312"/>
        </w:rPr>
        <w:t>按实际评估价值给予补偿。</w:t>
      </w:r>
    </w:p>
    <w:p>
      <w:pPr>
        <w:spacing w:line="560" w:lineRule="exact"/>
        <w:ind w:firstLine="632" w:firstLineChars="200"/>
        <w:rPr>
          <w:rFonts w:hAnsi="仿宋" w:cs="仿宋_GB2312"/>
        </w:rPr>
      </w:pPr>
      <w:r>
        <w:rPr>
          <w:rFonts w:hint="eastAsia" w:hAnsi="仿宋" w:cs="仿宋_GB2312"/>
          <w:b/>
        </w:rPr>
        <w:t xml:space="preserve">第八条 </w:t>
      </w:r>
      <w:r>
        <w:rPr>
          <w:rFonts w:hint="eastAsia" w:hAnsi="仿宋" w:cs="仿宋_GB2312"/>
        </w:rPr>
        <w:t>被征收房屋有以下情形之一的,不予补偿:</w:t>
      </w:r>
    </w:p>
    <w:p>
      <w:pPr>
        <w:spacing w:line="560" w:lineRule="exact"/>
        <w:ind w:firstLine="632" w:firstLineChars="200"/>
        <w:rPr>
          <w:rFonts w:hAnsi="仿宋" w:cs="仿宋_GB2312"/>
        </w:rPr>
      </w:pPr>
      <w:r>
        <w:rPr>
          <w:rFonts w:hint="eastAsia" w:hAnsi="仿宋" w:cs="仿宋_GB2312"/>
        </w:rPr>
        <w:t>一、超过批准期限的临时建筑或被依法被认定为违法建筑的房屋及房屋部分。</w:t>
      </w:r>
    </w:p>
    <w:p>
      <w:pPr>
        <w:spacing w:line="560" w:lineRule="exact"/>
        <w:ind w:firstLine="632" w:firstLineChars="200"/>
        <w:rPr>
          <w:rFonts w:hAnsi="仿宋" w:cs="仿宋_GB2312"/>
        </w:rPr>
      </w:pPr>
      <w:r>
        <w:rPr>
          <w:rFonts w:hint="eastAsia" w:hAnsi="仿宋" w:cs="仿宋_GB2312"/>
        </w:rPr>
        <w:t>二、征收范围确定且公告发布后，被征收人擅自新建、改建、扩建的房屋及附属物部分或擅自改变房屋用途等不当增加补偿费用的行为部分。</w:t>
      </w:r>
    </w:p>
    <w:p>
      <w:pPr>
        <w:spacing w:line="560" w:lineRule="exact"/>
        <w:ind w:firstLine="632" w:firstLineChars="200"/>
        <w:rPr>
          <w:rFonts w:hAnsi="仿宋" w:cs="仿宋_GB2312"/>
        </w:rPr>
      </w:pPr>
      <w:r>
        <w:rPr>
          <w:rFonts w:hint="eastAsia" w:hAnsi="仿宋" w:cs="仿宋_GB2312"/>
        </w:rPr>
        <w:t>三、其它依法不予补偿的房屋及房屋部分。</w:t>
      </w:r>
    </w:p>
    <w:p>
      <w:pPr>
        <w:spacing w:line="560" w:lineRule="exact"/>
        <w:jc w:val="center"/>
        <w:rPr>
          <w:rFonts w:hint="eastAsia" w:ascii="黑体" w:hAnsi="黑体" w:eastAsia="黑体" w:cs="黑体"/>
          <w:b w:val="0"/>
          <w:bCs/>
        </w:rPr>
      </w:pPr>
      <w:r>
        <w:rPr>
          <w:rFonts w:hint="eastAsia" w:ascii="黑体" w:hAnsi="黑体" w:eastAsia="黑体" w:cs="黑体"/>
          <w:b w:val="0"/>
          <w:bCs/>
        </w:rPr>
        <w:t>第三章 补助和奖励</w:t>
      </w:r>
    </w:p>
    <w:p>
      <w:pPr>
        <w:spacing w:line="560" w:lineRule="exact"/>
        <w:ind w:firstLine="632" w:firstLineChars="200"/>
        <w:rPr>
          <w:rFonts w:hAnsi="仿宋" w:cs="仿宋_GB2312"/>
        </w:rPr>
      </w:pPr>
      <w:r>
        <w:rPr>
          <w:rFonts w:hint="eastAsia" w:hAnsi="仿宋" w:cs="仿宋_GB2312"/>
          <w:b/>
        </w:rPr>
        <w:t xml:space="preserve">第九条 </w:t>
      </w:r>
      <w:r>
        <w:rPr>
          <w:rFonts w:hint="eastAsia" w:hAnsi="仿宋" w:cs="仿宋_GB2312"/>
        </w:rPr>
        <w:t>搬迁补助。按被征收房屋面积每平方米25元一次性计算支付(含两次搬迁),每户不足1000元的,补足至1000元。</w:t>
      </w:r>
    </w:p>
    <w:p>
      <w:pPr>
        <w:spacing w:line="560" w:lineRule="exact"/>
        <w:ind w:firstLine="632" w:firstLineChars="200"/>
        <w:rPr>
          <w:rFonts w:hAnsi="仿宋" w:cs="仿宋_GB2312"/>
        </w:rPr>
      </w:pPr>
      <w:r>
        <w:rPr>
          <w:rFonts w:hint="eastAsia" w:hAnsi="仿宋" w:cs="仿宋_GB2312"/>
          <w:b/>
        </w:rPr>
        <w:t xml:space="preserve">第十条 </w:t>
      </w:r>
      <w:r>
        <w:rPr>
          <w:rFonts w:hint="eastAsia" w:hAnsi="仿宋" w:cs="仿宋_GB2312"/>
        </w:rPr>
        <w:t>设施迁移补助。电话100元/部,水表500元/户,电表600元/户（三相电表1500元/户）,有线电视360元/户,管道燃气3200元/户，家用空调（3匹以内）200元/部，香炉神台2500元/户。</w:t>
      </w:r>
    </w:p>
    <w:p>
      <w:pPr>
        <w:spacing w:line="560" w:lineRule="exact"/>
        <w:ind w:firstLine="632" w:firstLineChars="200"/>
        <w:rPr>
          <w:rFonts w:hAnsi="仿宋" w:cs="仿宋_GB2312"/>
          <w:strike/>
        </w:rPr>
      </w:pPr>
      <w:r>
        <w:rPr>
          <w:rFonts w:hint="eastAsia" w:hAnsi="仿宋" w:cs="仿宋_GB2312"/>
          <w:b/>
        </w:rPr>
        <w:t xml:space="preserve">第十一条 </w:t>
      </w:r>
      <w:r>
        <w:rPr>
          <w:rFonts w:hint="eastAsia" w:hAnsi="仿宋" w:cs="仿宋_GB2312"/>
        </w:rPr>
        <w:t>临时安置补助。按被征收房屋每平方米16元/月支付，每户（现场编号）不足500元/月的补足至500元/月。</w:t>
      </w:r>
    </w:p>
    <w:p>
      <w:pPr>
        <w:spacing w:line="560" w:lineRule="exact"/>
        <w:ind w:firstLine="552"/>
        <w:rPr>
          <w:rFonts w:hAnsi="仿宋" w:cs="仿宋_GB2312"/>
        </w:rPr>
      </w:pPr>
      <w:r>
        <w:rPr>
          <w:rFonts w:hint="eastAsia" w:hAnsi="仿宋" w:cs="仿宋_GB2312"/>
        </w:rPr>
        <w:t>一、住宅类房屋的被征收人选择产权调换或产权调换与货币补偿相结合方式，并自行安排临时安置的,在征收决定规定的签约之日起一个月内签订征收补偿安置协议并按协议约定期限搬迁的，按照选择的产权调换面积（最大不超过应安置面积）计算，一次性发放36个月的临时安置补助费；被征收人超过一个月签约的，按延后的月份依次递减。临时安置补助持续发放至安置工作</w:t>
      </w:r>
      <w:r>
        <w:rPr>
          <w:rFonts w:hint="eastAsia" w:hAnsi="仿宋" w:cs="仿宋_GB2312"/>
          <w:lang w:eastAsia="zh-Hans"/>
        </w:rPr>
        <w:t>完成</w:t>
      </w:r>
      <w:r>
        <w:rPr>
          <w:rFonts w:hint="eastAsia" w:hAnsi="仿宋" w:cs="仿宋_GB2312"/>
        </w:rPr>
        <w:t>止。</w:t>
      </w:r>
    </w:p>
    <w:p>
      <w:pPr>
        <w:spacing w:line="560" w:lineRule="exact"/>
        <w:ind w:firstLine="552"/>
        <w:rPr>
          <w:rFonts w:hAnsi="仿宋" w:cs="仿宋_GB2312"/>
        </w:rPr>
      </w:pPr>
      <w:r>
        <w:rPr>
          <w:rFonts w:hint="eastAsia" w:hAnsi="仿宋" w:cs="仿宋_GB2312"/>
        </w:rPr>
        <w:t>二、住宅类房屋的被征收人选择货币安置，自行安排临时安置的, 在征收决定规定的签约之日起一个月内签订征收补偿安置协议并按协议约定期限搬迁的，按被征收房屋面积计算，一次性发放6个月的临时安置补助费；被征收人超过一个月签约的，按延后的月份依次递减。</w:t>
      </w:r>
    </w:p>
    <w:p>
      <w:pPr>
        <w:spacing w:line="560" w:lineRule="exact"/>
        <w:ind w:firstLine="632" w:firstLineChars="200"/>
        <w:rPr>
          <w:rFonts w:hAnsi="仿宋" w:cs="仿宋_GB2312"/>
        </w:rPr>
      </w:pPr>
      <w:r>
        <w:rPr>
          <w:rFonts w:hint="eastAsia" w:hAnsi="仿宋" w:cs="仿宋_GB2312"/>
        </w:rPr>
        <w:t>三、对空置住宅用地不给予临时安置补助。</w:t>
      </w:r>
    </w:p>
    <w:p>
      <w:pPr>
        <w:spacing w:line="560" w:lineRule="exact"/>
        <w:ind w:firstLine="632" w:firstLineChars="200"/>
        <w:rPr>
          <w:rFonts w:hAnsi="仿宋" w:cs="仿宋_GB2312"/>
        </w:rPr>
      </w:pPr>
      <w:r>
        <w:rPr>
          <w:rFonts w:hint="eastAsia" w:hAnsi="仿宋" w:cs="仿宋_GB2312"/>
          <w:b/>
        </w:rPr>
        <w:t xml:space="preserve">第十二条 </w:t>
      </w:r>
      <w:r>
        <w:rPr>
          <w:rFonts w:hint="eastAsia" w:hAnsi="仿宋" w:cs="仿宋_GB2312"/>
          <w:bCs/>
        </w:rPr>
        <w:t>唯一</w:t>
      </w:r>
      <w:r>
        <w:rPr>
          <w:rFonts w:hint="eastAsia" w:ascii="仿宋" w:hAnsi="仿宋" w:eastAsia="仿宋" w:cs="仿宋_GB2312"/>
        </w:rPr>
        <w:t>空置住宅土地补助（片区内无其他住房）。个人唯一住宅用地上未建任何房屋的，按土地面积给予1800元/</w:t>
      </w:r>
      <w:r>
        <w:rPr>
          <w:rFonts w:hint="eastAsia" w:ascii="仿宋" w:hAnsi="仿宋" w:eastAsia="仿宋" w:cs="宋体"/>
        </w:rPr>
        <w:t>㎡</w:t>
      </w:r>
      <w:r>
        <w:rPr>
          <w:rFonts w:hint="eastAsia" w:ascii="仿宋" w:hAnsi="仿宋" w:eastAsia="仿宋" w:cs="仿宋_GB2312"/>
        </w:rPr>
        <w:t>补助；个人住宅用地上建有部分房屋的，未建部分土地不享受空置住宅土地补助。</w:t>
      </w:r>
    </w:p>
    <w:p>
      <w:pPr>
        <w:spacing w:line="560" w:lineRule="exact"/>
        <w:ind w:firstLine="632" w:firstLineChars="200"/>
        <w:rPr>
          <w:rFonts w:hAnsi="仿宋" w:cs="仿宋_GB2312"/>
        </w:rPr>
      </w:pPr>
      <w:r>
        <w:rPr>
          <w:rFonts w:hint="eastAsia" w:hAnsi="仿宋" w:cs="仿宋_GB2312"/>
          <w:b/>
          <w:bCs/>
        </w:rPr>
        <w:t>第十三条</w:t>
      </w:r>
      <w:r>
        <w:rPr>
          <w:rFonts w:hint="eastAsia" w:hAnsi="仿宋" w:cs="仿宋_GB2312"/>
        </w:rPr>
        <w:t xml:space="preserve"> 临市政规划道路住宅土地补助。持有合法土地使用权证且标注临市政规划道路的个人住宅用地，对进深不超过15米的部分，被征收人在规定时间内签订征收补偿协议的，按土地面积900元/</w:t>
      </w:r>
      <w:r>
        <w:rPr>
          <w:rFonts w:hint="eastAsia" w:hAnsi="仿宋" w:eastAsia="仿宋" w:cs="仿宋_GB2312"/>
        </w:rPr>
        <w:t>㎡</w:t>
      </w:r>
      <w:r>
        <w:rPr>
          <w:rFonts w:hint="eastAsia" w:hAnsi="仿宋" w:cs="仿宋_GB2312"/>
        </w:rPr>
        <w:t>给予补助。</w:t>
      </w:r>
    </w:p>
    <w:p>
      <w:pPr>
        <w:spacing w:line="560" w:lineRule="exact"/>
        <w:ind w:firstLine="632" w:firstLineChars="200"/>
        <w:rPr>
          <w:rFonts w:hAnsi="仿宋" w:cs="仿宋_GB2312"/>
        </w:rPr>
      </w:pPr>
      <w:r>
        <w:rPr>
          <w:rFonts w:hint="eastAsia" w:hAnsi="仿宋_GB2312" w:cs="仿宋_GB2312"/>
          <w:b/>
        </w:rPr>
        <w:t xml:space="preserve">第十四条 </w:t>
      </w:r>
      <w:r>
        <w:rPr>
          <w:rFonts w:hint="eastAsia" w:hAnsi="仿宋" w:cs="仿宋_GB2312"/>
        </w:rPr>
        <w:t>自改经营性用房补助。被征收房屋自行改变房屋用途作为经营性用房使用的，按照住宅房屋给予征收补偿，发布征收调查通告前办理工商营业执照的，对其首层房屋实际用于经营的部分给予适当补助，产权人在规定时间内签订协议并搬迁腾空的，补助标准为900元/</w:t>
      </w:r>
      <w:r>
        <w:rPr>
          <w:rFonts w:hint="eastAsia" w:hAnsi="仿宋" w:eastAsia="仿宋" w:cs="仿宋_GB2312"/>
        </w:rPr>
        <w:t>㎡</w:t>
      </w:r>
      <w:r>
        <w:rPr>
          <w:rFonts w:hint="eastAsia" w:hAnsi="仿宋" w:cs="仿宋_GB2312"/>
        </w:rPr>
        <w:t>。</w:t>
      </w:r>
    </w:p>
    <w:p>
      <w:pPr>
        <w:spacing w:line="560" w:lineRule="exact"/>
        <w:ind w:firstLine="632" w:firstLineChars="200"/>
        <w:rPr>
          <w:rFonts w:hAnsi="仿宋" w:cs="仿宋_GB2312"/>
        </w:rPr>
      </w:pPr>
      <w:r>
        <w:rPr>
          <w:rFonts w:hint="eastAsia" w:hAnsi="仿宋" w:cs="仿宋_GB2312"/>
        </w:rPr>
        <w:t>被征收房屋改变房屋用途作为办公、生产、仓储、教学等场所的,不按照本条规定补助。</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 w:hAnsi="仿宋" w:eastAsia="仿宋" w:cs="仿宋_GB2312"/>
        </w:rPr>
      </w:pPr>
      <w:r>
        <w:rPr>
          <w:rFonts w:hint="eastAsia" w:ascii="仿宋" w:hAnsi="仿宋" w:eastAsia="仿宋" w:cs="仿宋_GB2312"/>
          <w:b/>
        </w:rPr>
        <w:t>第十五条</w:t>
      </w:r>
      <w:r>
        <w:rPr>
          <w:rFonts w:hint="eastAsia" w:ascii="仿宋" w:hAnsi="仿宋" w:eastAsia="仿宋" w:cs="仿宋_GB2312"/>
        </w:rPr>
        <w:t xml:space="preserve"> 因征收非住宅房屋(以房屋权属证书记载的性质为准)造成停产、停业的,一次性给予12个月的补助。补助的标准为：营业铺面按该铺面评估价的1%/月给予补助；生产用房按该用房评估价的0.8%/月给予补助。</w:t>
      </w:r>
    </w:p>
    <w:p>
      <w:pPr>
        <w:spacing w:line="560" w:lineRule="exact"/>
        <w:ind w:firstLine="632" w:firstLineChars="200"/>
        <w:rPr>
          <w:rFonts w:ascii="仿宋" w:hAnsi="仿宋" w:eastAsia="仿宋" w:cs="仿宋_GB2312"/>
        </w:rPr>
      </w:pPr>
      <w:r>
        <w:rPr>
          <w:rFonts w:hint="eastAsia" w:hAnsi="仿宋" w:cs="仿宋_GB2312"/>
          <w:b/>
        </w:rPr>
        <w:t xml:space="preserve">第十六条 </w:t>
      </w:r>
      <w:r>
        <w:rPr>
          <w:rFonts w:hint="eastAsia" w:hAnsi="仿宋" w:cs="仿宋_GB2312"/>
        </w:rPr>
        <w:t>自拆补助。属于本方案不予补偿的房屋及房屋部分,被征收人配合征收并在规定期限内自拆的,一次性给予200元/</w:t>
      </w:r>
      <w:r>
        <w:rPr>
          <w:rFonts w:hint="eastAsia" w:hAnsi="仿宋" w:eastAsia="仿宋" w:cs="仿宋_GB2312"/>
        </w:rPr>
        <w:t>㎡</w:t>
      </w:r>
      <w:r>
        <w:rPr>
          <w:rFonts w:hint="eastAsia" w:hAnsi="仿宋" w:cs="仿宋_GB2312"/>
        </w:rPr>
        <w:t>补助。</w:t>
      </w:r>
    </w:p>
    <w:p>
      <w:pPr>
        <w:spacing w:line="560" w:lineRule="exact"/>
        <w:ind w:firstLine="632" w:firstLineChars="200"/>
        <w:rPr>
          <w:rFonts w:hAnsi="仿宋" w:cs="仿宋_GB2312"/>
          <w:b/>
        </w:rPr>
      </w:pPr>
      <w:r>
        <w:rPr>
          <w:rFonts w:hint="eastAsia" w:hAnsi="仿宋" w:cs="仿宋_GB2312"/>
          <w:b/>
        </w:rPr>
        <w:t>第十七条 签约奖励。</w:t>
      </w:r>
    </w:p>
    <w:p>
      <w:pPr>
        <w:spacing w:line="560" w:lineRule="exact"/>
        <w:ind w:firstLine="632" w:firstLineChars="200"/>
        <w:rPr>
          <w:rFonts w:hAnsi="仿宋" w:cs="仿宋_GB2312"/>
        </w:rPr>
      </w:pPr>
      <w:r>
        <w:rPr>
          <w:rFonts w:hint="eastAsia" w:hAnsi="仿宋" w:cs="仿宋_GB2312"/>
        </w:rPr>
        <w:t>一、选择房地分离方式评估的，被征收人在征收决定规定的签约之日起60日内签订征收补偿安置协议并在规定时间完成搬迁的，按确认的房屋和土地面积的评估补偿金额的55%给予一次性提前签约奖励；被征收人在征收决定规定的签约之日起第61至120日内签订征收补偿安置协议并在规定时间完成搬迁的，按确认的房屋和土地面积的评估补偿金额的45%给予一次性按时签约奖励。法人企业、机关事业单位等主体不享受签约奖励。</w:t>
      </w:r>
    </w:p>
    <w:p>
      <w:pPr>
        <w:spacing w:line="560" w:lineRule="exact"/>
        <w:ind w:firstLine="632" w:firstLineChars="200"/>
        <w:rPr>
          <w:rFonts w:hAnsi="仿宋" w:cs="仿宋_GB2312"/>
        </w:rPr>
      </w:pPr>
      <w:r>
        <w:rPr>
          <w:rFonts w:hint="eastAsia" w:hAnsi="仿宋" w:cs="仿宋_GB2312"/>
        </w:rPr>
        <w:t>二、选择房地合一方式评估的，按以下方式给予奖励：</w:t>
      </w:r>
    </w:p>
    <w:p>
      <w:pPr>
        <w:spacing w:line="560" w:lineRule="exact"/>
        <w:ind w:firstLine="632" w:firstLineChars="200"/>
        <w:rPr>
          <w:rFonts w:hAnsi="仿宋" w:cs="仿宋_GB2312"/>
        </w:rPr>
      </w:pPr>
      <w:r>
        <w:rPr>
          <w:rFonts w:hint="eastAsia" w:hAnsi="仿宋" w:cs="仿宋_GB2312"/>
        </w:rPr>
        <w:t>（一）属于自建房屋的，被征收人在征收决定规定的签约之日起60日内签订征收补偿安置协议并在规定时间完成搬迁的，按确认的土地面积每平方米1400元给予一次性提前签约奖励；被征收人在征收决定规定的签约之日起第61至120日内签订征收补偿安置协议并在规定时间完成搬迁的，按确认的土地面积每平方米1100元给予一次性按时签约奖励。法人企业、机关事业单位等主体不享受签约奖励。</w:t>
      </w:r>
    </w:p>
    <w:p>
      <w:pPr>
        <w:spacing w:line="560" w:lineRule="exact"/>
        <w:ind w:firstLine="632" w:firstLineChars="200"/>
        <w:rPr>
          <w:rFonts w:hAnsi="仿宋" w:cs="仿宋_GB2312"/>
        </w:rPr>
      </w:pPr>
      <w:r>
        <w:rPr>
          <w:rFonts w:hint="eastAsia" w:hAnsi="仿宋" w:cs="仿宋"/>
        </w:rPr>
        <w:t>（二）属于单位住宅小区及出让性质的商业小区，</w:t>
      </w:r>
      <w:r>
        <w:rPr>
          <w:rFonts w:hint="eastAsia" w:hAnsi="仿宋" w:cs="仿宋_GB2312"/>
        </w:rPr>
        <w:t>被征收人在征收决定规定的签约之日起60日内签订征收补偿安置协议并在规定时间完成搬迁的，</w:t>
      </w:r>
      <w:r>
        <w:rPr>
          <w:rFonts w:hint="eastAsia" w:hAnsi="仿宋" w:cs="仿宋"/>
        </w:rPr>
        <w:t>按确认的房屋面积每平方米1400元</w:t>
      </w:r>
      <w:r>
        <w:rPr>
          <w:rFonts w:hint="eastAsia" w:hAnsi="仿宋" w:cs="仿宋_GB2312"/>
        </w:rPr>
        <w:t>给予一次性提前签约奖励；被征收人在征收决定规定的签约之日起第61至120日内签订征收补偿安置协议并在规定时间完成搬迁的，</w:t>
      </w:r>
      <w:r>
        <w:rPr>
          <w:rFonts w:hint="eastAsia" w:hAnsi="仿宋" w:cs="仿宋"/>
        </w:rPr>
        <w:t>按确认的房屋面积每平方米1100元</w:t>
      </w:r>
      <w:r>
        <w:rPr>
          <w:rFonts w:hint="eastAsia" w:hAnsi="仿宋" w:cs="仿宋_GB2312"/>
        </w:rPr>
        <w:t>给予一次性按时签约奖励。法人企业、机关事业单位等主体不享受签约奖励。</w:t>
      </w:r>
    </w:p>
    <w:p>
      <w:pPr>
        <w:spacing w:line="560" w:lineRule="exact"/>
        <w:ind w:firstLine="632" w:firstLineChars="200"/>
        <w:rPr>
          <w:rFonts w:hAnsi="仿宋" w:cs="仿宋_GB2312"/>
        </w:rPr>
      </w:pPr>
      <w:r>
        <w:rPr>
          <w:rFonts w:hint="eastAsia" w:hAnsi="仿宋" w:cs="仿宋_GB2312"/>
          <w:b/>
        </w:rPr>
        <w:t xml:space="preserve">第十八条 </w:t>
      </w:r>
      <w:r>
        <w:rPr>
          <w:rFonts w:hint="eastAsia" w:hAnsi="仿宋" w:cs="仿宋_GB2312"/>
        </w:rPr>
        <w:t>被征收人不配合征收，在征收决定</w:t>
      </w:r>
      <w:r>
        <w:rPr>
          <w:rFonts w:hint="eastAsia" w:hAnsi="仿宋" w:cs="仿宋_GB2312"/>
          <w:lang w:eastAsia="zh-Hans"/>
        </w:rPr>
        <w:t>及本方案</w:t>
      </w:r>
      <w:r>
        <w:rPr>
          <w:rFonts w:hint="eastAsia" w:hAnsi="仿宋" w:cs="仿宋_GB2312"/>
        </w:rPr>
        <w:t>规定的签约期限内不签订征收补偿安置协议的，不享受本方案第十七条规定的奖励。</w:t>
      </w:r>
    </w:p>
    <w:p>
      <w:pPr>
        <w:spacing w:line="560" w:lineRule="exact"/>
        <w:jc w:val="center"/>
        <w:rPr>
          <w:rFonts w:hint="eastAsia" w:ascii="黑体" w:hAnsi="黑体" w:eastAsia="黑体" w:cs="黑体"/>
          <w:b w:val="0"/>
          <w:bCs/>
        </w:rPr>
      </w:pPr>
      <w:r>
        <w:rPr>
          <w:rFonts w:hint="eastAsia" w:ascii="黑体" w:hAnsi="黑体" w:eastAsia="黑体" w:cs="黑体"/>
          <w:b w:val="0"/>
          <w:bCs/>
        </w:rPr>
        <w:t>第四章 安置和结算</w:t>
      </w:r>
    </w:p>
    <w:p>
      <w:pPr>
        <w:spacing w:line="560" w:lineRule="exact"/>
        <w:ind w:firstLine="632" w:firstLineChars="200"/>
        <w:rPr>
          <w:rFonts w:hAnsi="仿宋" w:cs="仿宋_GB2312"/>
        </w:rPr>
      </w:pPr>
      <w:r>
        <w:rPr>
          <w:rFonts w:hint="eastAsia" w:hAnsi="仿宋" w:cs="仿宋_GB2312"/>
          <w:b/>
        </w:rPr>
        <w:t xml:space="preserve">第十九条 </w:t>
      </w:r>
      <w:r>
        <w:rPr>
          <w:rFonts w:hint="eastAsia" w:hAnsi="仿宋" w:cs="仿宋_GB2312"/>
        </w:rPr>
        <w:t>房屋安置</w:t>
      </w:r>
    </w:p>
    <w:p>
      <w:pPr>
        <w:spacing w:line="560" w:lineRule="exact"/>
        <w:ind w:firstLine="620" w:firstLineChars="196"/>
        <w:rPr>
          <w:rFonts w:hAnsi="仿宋" w:cs="仿宋_GB2312"/>
        </w:rPr>
      </w:pPr>
      <w:r>
        <w:rPr>
          <w:rFonts w:hint="eastAsia" w:hAnsi="仿宋" w:cs="仿宋_GB2312"/>
        </w:rPr>
        <w:t>属个人住宅类房屋，符合本方案第七条规定的应予以补偿的房屋及房屋部分，按以下方式之一向被征收人提供商品住房并结算，并按签约顺序进行选房。</w:t>
      </w:r>
    </w:p>
    <w:p>
      <w:pPr>
        <w:spacing w:line="560" w:lineRule="exact"/>
        <w:ind w:firstLine="620" w:firstLineChars="196"/>
        <w:rPr>
          <w:rFonts w:hAnsi="仿宋" w:cs="仿宋_GB2312"/>
        </w:rPr>
      </w:pPr>
      <w:r>
        <w:rPr>
          <w:rFonts w:hint="eastAsia" w:hAnsi="仿宋" w:cs="仿宋_GB2312"/>
        </w:rPr>
        <w:t>一、完全产权商品住房安置，设计有60</w:t>
      </w:r>
      <w:r>
        <w:rPr>
          <w:rFonts w:hint="eastAsia" w:hAnsi="仿宋" w:eastAsia="仿宋" w:cs="仿宋_GB2312"/>
        </w:rPr>
        <w:t>㎡</w:t>
      </w:r>
      <w:r>
        <w:rPr>
          <w:rFonts w:hint="eastAsia" w:hAnsi="仿宋" w:cs="仿宋_GB2312"/>
        </w:rPr>
        <w:t>、90</w:t>
      </w:r>
      <w:r>
        <w:rPr>
          <w:rFonts w:hint="eastAsia" w:hAnsi="仿宋" w:eastAsia="仿宋" w:cs="仿宋_GB2312"/>
        </w:rPr>
        <w:t>㎡</w:t>
      </w:r>
      <w:r>
        <w:rPr>
          <w:rFonts w:hint="eastAsia" w:hAnsi="仿宋" w:cs="仿宋_GB2312"/>
        </w:rPr>
        <w:t>、120</w:t>
      </w:r>
      <w:r>
        <w:rPr>
          <w:rFonts w:hint="eastAsia" w:hAnsi="仿宋" w:eastAsia="仿宋" w:cs="仿宋_GB2312"/>
        </w:rPr>
        <w:t>㎡</w:t>
      </w:r>
      <w:r>
        <w:rPr>
          <w:rFonts w:hint="eastAsia" w:hAnsi="仿宋" w:cs="仿宋_GB2312"/>
        </w:rPr>
        <w:t>、150</w:t>
      </w:r>
      <w:r>
        <w:rPr>
          <w:rFonts w:hint="eastAsia" w:hAnsi="仿宋" w:eastAsia="仿宋" w:cs="仿宋_GB2312"/>
        </w:rPr>
        <w:t>㎡</w:t>
      </w:r>
      <w:r>
        <w:rPr>
          <w:rFonts w:hint="eastAsia" w:hAnsi="仿宋" w:cs="仿宋_GB2312"/>
        </w:rPr>
        <w:t>（户型待定）四种户型面积。</w:t>
      </w:r>
    </w:p>
    <w:p>
      <w:pPr>
        <w:spacing w:line="560" w:lineRule="exact"/>
        <w:ind w:firstLine="620" w:firstLineChars="196"/>
        <w:rPr>
          <w:rFonts w:hAnsi="仿宋" w:cs="仿宋_GB2312"/>
        </w:rPr>
      </w:pPr>
      <w:r>
        <w:rPr>
          <w:rFonts w:hint="eastAsia" w:hAnsi="仿宋" w:cs="仿宋_GB2312"/>
        </w:rPr>
        <w:t>（一）被征收房屋面积大于土地面积的，原则上按现状房屋建筑面积1:1的比例提供商品住房并结算，购买的回迁商品住房面积之和不得超过525</w:t>
      </w:r>
      <w:r>
        <w:rPr>
          <w:rFonts w:hint="eastAsia" w:hAnsi="仿宋" w:eastAsia="仿宋" w:cs="仿宋_GB2312"/>
        </w:rPr>
        <w:t>㎡</w:t>
      </w:r>
      <w:r>
        <w:rPr>
          <w:rFonts w:hint="eastAsia" w:hAnsi="仿宋" w:cs="仿宋_GB2312"/>
        </w:rPr>
        <w:t>。</w:t>
      </w:r>
    </w:p>
    <w:p>
      <w:pPr>
        <w:spacing w:line="560" w:lineRule="exact"/>
        <w:ind w:firstLine="620" w:firstLineChars="196"/>
        <w:rPr>
          <w:rFonts w:hAnsi="仿宋" w:cs="仿宋_GB2312"/>
        </w:rPr>
      </w:pPr>
      <w:r>
        <w:rPr>
          <w:rFonts w:hint="eastAsia" w:hAnsi="仿宋" w:cs="仿宋_GB2312"/>
        </w:rPr>
        <w:t>（二）被征收土地面积大于现状房屋面积的，原则上按土地面积1:1的比例提供商品住房并结算，购买的回迁商品住房面积之和不得超过525</w:t>
      </w:r>
      <w:r>
        <w:rPr>
          <w:rFonts w:hint="eastAsia" w:hAnsi="仿宋" w:eastAsia="仿宋" w:cs="仿宋_GB2312"/>
        </w:rPr>
        <w:t>㎡</w:t>
      </w:r>
      <w:r>
        <w:rPr>
          <w:rFonts w:hint="eastAsia" w:hAnsi="仿宋" w:cs="仿宋_GB2312"/>
        </w:rPr>
        <w:t>。</w:t>
      </w:r>
    </w:p>
    <w:p>
      <w:pPr>
        <w:spacing w:line="560" w:lineRule="exact"/>
        <w:ind w:firstLine="632" w:firstLineChars="200"/>
        <w:rPr>
          <w:rFonts w:hAnsi="仿宋" w:cs="仿宋_GB2312"/>
        </w:rPr>
      </w:pPr>
      <w:r>
        <w:rPr>
          <w:rFonts w:hint="eastAsia" w:hAnsi="仿宋" w:cs="仿宋_GB2312"/>
        </w:rPr>
        <w:t>（三）有合法房屋权属证书或有合法批建手续的房屋及土地按证载面积给予安置。</w:t>
      </w:r>
    </w:p>
    <w:p>
      <w:pPr>
        <w:spacing w:line="560" w:lineRule="exact"/>
        <w:ind w:firstLine="632" w:firstLineChars="200"/>
        <w:rPr>
          <w:rFonts w:ascii="仿宋" w:hAnsi="仿宋" w:eastAsia="仿宋"/>
        </w:rPr>
      </w:pPr>
      <w:r>
        <w:rPr>
          <w:rFonts w:hint="eastAsia" w:hAnsi="仿宋" w:cs="仿宋_GB2312"/>
        </w:rPr>
        <w:t>二、合</w:t>
      </w:r>
      <w:r>
        <w:rPr>
          <w:rFonts w:hint="eastAsia" w:ascii="仿宋" w:hAnsi="仿宋" w:eastAsia="仿宋"/>
        </w:rPr>
        <w:t>法商业用房和住宅自行改为经营性用房，</w:t>
      </w:r>
      <w:r>
        <w:rPr>
          <w:rFonts w:hint="eastAsia" w:hAnsi="仿宋" w:cs="仿宋_GB2312"/>
        </w:rPr>
        <w:t>以及属于临现状规划道路的被征收人，</w:t>
      </w:r>
      <w:r>
        <w:rPr>
          <w:rFonts w:hint="eastAsia" w:ascii="仿宋" w:hAnsi="仿宋" w:eastAsia="仿宋"/>
        </w:rPr>
        <w:t>按以下方式提供房源。</w:t>
      </w:r>
    </w:p>
    <w:p>
      <w:pPr>
        <w:spacing w:line="560" w:lineRule="exact"/>
        <w:ind w:firstLine="689" w:firstLineChars="218"/>
        <w:rPr>
          <w:rFonts w:ascii="仿宋" w:hAnsi="仿宋" w:eastAsia="仿宋"/>
        </w:rPr>
      </w:pPr>
      <w:r>
        <w:rPr>
          <w:rFonts w:hint="eastAsia" w:ascii="仿宋" w:hAnsi="仿宋" w:eastAsia="仿宋"/>
        </w:rPr>
        <w:t>（一）对合法商业用房（以土地和房产证记载性质为准）原则上按现状房屋建筑面积1:1提供商业用房房源。</w:t>
      </w:r>
    </w:p>
    <w:p>
      <w:pPr>
        <w:spacing w:line="560" w:lineRule="exact"/>
        <w:ind w:firstLine="689" w:firstLineChars="218"/>
        <w:rPr>
          <w:rFonts w:ascii="仿宋" w:hAnsi="仿宋" w:eastAsia="仿宋"/>
        </w:rPr>
      </w:pPr>
      <w:r>
        <w:rPr>
          <w:rFonts w:hint="eastAsia" w:ascii="仿宋" w:hAnsi="仿宋" w:eastAsia="仿宋"/>
        </w:rPr>
        <w:t>（二）住宅自行改为经营性用房的，原则上按底层实际经营部分房屋建筑面积1:1提供住房或商业用房房源，实际经营面积小于商业用房单间面积的，按一间提供安置。</w:t>
      </w:r>
    </w:p>
    <w:p>
      <w:pPr>
        <w:spacing w:line="560" w:lineRule="exact"/>
        <w:ind w:firstLine="689" w:firstLineChars="218"/>
        <w:rPr>
          <w:rFonts w:hAnsi="仿宋" w:cs="仿宋_GB2312"/>
        </w:rPr>
      </w:pPr>
      <w:r>
        <w:rPr>
          <w:rFonts w:hint="eastAsia" w:ascii="仿宋" w:hAnsi="仿宋" w:eastAsia="仿宋"/>
        </w:rPr>
        <w:t>（三）</w:t>
      </w:r>
      <w:r>
        <w:rPr>
          <w:rFonts w:hint="eastAsia" w:hAnsi="仿宋" w:cs="仿宋_GB2312"/>
        </w:rPr>
        <w:t>临现状规划道路的被征收人，可以选择购买回迁商业用房，原则上每户（编号）只能购买一间。</w:t>
      </w:r>
    </w:p>
    <w:p>
      <w:pPr>
        <w:spacing w:line="560" w:lineRule="exact"/>
        <w:ind w:firstLine="632" w:firstLineChars="200"/>
        <w:rPr>
          <w:rFonts w:ascii="仿宋" w:hAnsi="仿宋" w:eastAsia="仿宋"/>
        </w:rPr>
      </w:pPr>
      <w:r>
        <w:rPr>
          <w:rFonts w:hint="eastAsia" w:hAnsi="仿宋" w:cs="仿宋_GB2312"/>
        </w:rPr>
        <w:t>按签约顺序进行选房</w:t>
      </w:r>
      <w:r>
        <w:rPr>
          <w:rFonts w:hint="eastAsia" w:ascii="仿宋" w:hAnsi="仿宋" w:eastAsia="仿宋"/>
        </w:rPr>
        <w:t>，先签先选，选完为止。</w:t>
      </w:r>
    </w:p>
    <w:p>
      <w:pPr>
        <w:spacing w:line="560" w:lineRule="exact"/>
        <w:ind w:firstLine="632" w:firstLineChars="200"/>
        <w:rPr>
          <w:rFonts w:hAnsi="仿宋" w:cs="仿宋_GB2312"/>
          <w:b/>
        </w:rPr>
      </w:pPr>
      <w:r>
        <w:rPr>
          <w:rFonts w:hint="eastAsia" w:hAnsi="仿宋" w:cs="仿宋_GB2312"/>
          <w:b/>
        </w:rPr>
        <w:t xml:space="preserve">第二十条 </w:t>
      </w:r>
      <w:r>
        <w:rPr>
          <w:rFonts w:hint="eastAsia" w:hAnsi="仿宋" w:cs="仿宋_GB2312"/>
        </w:rPr>
        <w:t>空地安置</w:t>
      </w:r>
    </w:p>
    <w:p>
      <w:pPr>
        <w:spacing w:line="560" w:lineRule="exact"/>
        <w:ind w:firstLine="632" w:firstLineChars="200"/>
        <w:rPr>
          <w:rFonts w:hAnsi="仿宋" w:cs="仿宋_GB2312"/>
        </w:rPr>
      </w:pPr>
      <w:r>
        <w:rPr>
          <w:rFonts w:hint="eastAsia" w:hAnsi="仿宋" w:cs="仿宋_GB2312"/>
        </w:rPr>
        <w:t>被征收人在征收范围内唯一的一宗空置住宅用地,按土地面积1:1.2的比例提供商品住房并结算，购买的回迁商品住房面积之和不得超过525</w:t>
      </w:r>
      <w:r>
        <w:rPr>
          <w:rFonts w:hint="eastAsia" w:hAnsi="仿宋" w:eastAsia="仿宋" w:cs="仿宋_GB2312"/>
        </w:rPr>
        <w:t>㎡</w:t>
      </w:r>
      <w:r>
        <w:rPr>
          <w:rFonts w:hint="eastAsia" w:hAnsi="仿宋" w:cs="仿宋_GB2312"/>
        </w:rPr>
        <w:t>。</w:t>
      </w:r>
    </w:p>
    <w:p>
      <w:pPr>
        <w:spacing w:line="560" w:lineRule="exact"/>
        <w:ind w:firstLine="632" w:firstLineChars="200"/>
        <w:rPr>
          <w:rFonts w:hAnsi="仿宋" w:cs="仿宋_GB2312"/>
        </w:rPr>
      </w:pPr>
      <w:r>
        <w:rPr>
          <w:rFonts w:hint="eastAsia" w:hAnsi="仿宋" w:cs="仿宋_GB2312"/>
          <w:b/>
        </w:rPr>
        <w:t xml:space="preserve">第二十一条 </w:t>
      </w:r>
      <w:r>
        <w:rPr>
          <w:rFonts w:hint="eastAsia" w:hAnsi="仿宋" w:cs="仿宋_GB2312"/>
        </w:rPr>
        <w:t>属于本方案第八条规定的不予补偿的房屋及房屋部分，不提供安置。</w:t>
      </w:r>
    </w:p>
    <w:p>
      <w:pPr>
        <w:spacing w:line="560" w:lineRule="exact"/>
        <w:ind w:firstLine="632" w:firstLineChars="200"/>
        <w:rPr>
          <w:rFonts w:hAnsi="仿宋" w:cs="仿宋_GB2312"/>
        </w:rPr>
      </w:pPr>
      <w:r>
        <w:rPr>
          <w:rFonts w:hint="eastAsia" w:hAnsi="仿宋" w:cs="仿宋_GB2312"/>
          <w:b/>
        </w:rPr>
        <w:t xml:space="preserve">第二十二条 </w:t>
      </w:r>
      <w:r>
        <w:rPr>
          <w:rFonts w:hint="eastAsia" w:hAnsi="仿宋" w:cs="仿宋_GB2312"/>
        </w:rPr>
        <w:t>结算</w:t>
      </w:r>
    </w:p>
    <w:p>
      <w:pPr>
        <w:spacing w:line="560" w:lineRule="exact"/>
        <w:ind w:firstLine="632" w:firstLineChars="200"/>
        <w:rPr>
          <w:rFonts w:hAnsi="仿宋" w:cs="仿宋_GB2312"/>
        </w:rPr>
      </w:pPr>
      <w:r>
        <w:rPr>
          <w:rFonts w:hint="eastAsia" w:hAnsi="仿宋" w:cs="仿宋_GB2312"/>
        </w:rPr>
        <w:t>商品住房和商业用房用地采取出让的方式供地，为完全产权房屋，按以下标准进行结算:</w:t>
      </w:r>
    </w:p>
    <w:p>
      <w:pPr>
        <w:spacing w:line="560" w:lineRule="exact"/>
        <w:ind w:firstLine="632" w:firstLineChars="200"/>
        <w:rPr>
          <w:rFonts w:hAnsi="仿宋" w:cs="仿宋_GB2312"/>
        </w:rPr>
      </w:pPr>
      <w:r>
        <w:rPr>
          <w:rFonts w:hint="eastAsia" w:hAnsi="仿宋" w:cs="仿宋_GB2312"/>
        </w:rPr>
        <w:t>一、商品住房结算</w:t>
      </w:r>
    </w:p>
    <w:p>
      <w:pPr>
        <w:spacing w:line="560" w:lineRule="exact"/>
        <w:ind w:firstLine="632" w:firstLineChars="200"/>
        <w:rPr>
          <w:rFonts w:hAnsi="仿宋" w:cs="仿宋_GB2312"/>
        </w:rPr>
      </w:pPr>
      <w:r>
        <w:rPr>
          <w:rFonts w:hint="eastAsia" w:hAnsi="仿宋" w:cs="仿宋_GB2312"/>
        </w:rPr>
        <w:t>（一）购买商品住房的面积不超过本方案规定购买商品住房面积10</w:t>
      </w:r>
      <w:r>
        <w:rPr>
          <w:rFonts w:hint="eastAsia" w:hAnsi="仿宋" w:eastAsia="仿宋" w:cs="仿宋_GB2312"/>
        </w:rPr>
        <w:t>㎡</w:t>
      </w:r>
      <w:r>
        <w:rPr>
          <w:rFonts w:hint="eastAsia" w:hAnsi="仿宋" w:cs="仿宋_GB2312"/>
        </w:rPr>
        <w:t>（含）的部分，按县政府批准的优惠价5190元/</w:t>
      </w:r>
      <w:r>
        <w:rPr>
          <w:rFonts w:hint="eastAsia" w:hAnsi="仿宋" w:eastAsia="仿宋" w:cs="仿宋_GB2312"/>
        </w:rPr>
        <w:t>㎡结算</w:t>
      </w:r>
      <w:r>
        <w:rPr>
          <w:rFonts w:hint="eastAsia" w:hAnsi="仿宋" w:cs="仿宋"/>
        </w:rPr>
        <w:t>（</w:t>
      </w:r>
      <w:r>
        <w:rPr>
          <w:rFonts w:hint="eastAsia" w:hAnsi="仿宋" w:cs="仿宋_GB2312"/>
        </w:rPr>
        <w:t>具体以县政府批准的价格为准</w:t>
      </w:r>
      <w:r>
        <w:rPr>
          <w:rFonts w:hint="eastAsia" w:hAnsi="仿宋" w:cs="仿宋"/>
        </w:rPr>
        <w:t>）</w:t>
      </w:r>
      <w:r>
        <w:rPr>
          <w:rFonts w:hint="eastAsia" w:hAnsi="仿宋" w:cs="仿宋_GB2312"/>
        </w:rPr>
        <w:t>；</w:t>
      </w:r>
    </w:p>
    <w:p>
      <w:pPr>
        <w:spacing w:line="560" w:lineRule="exact"/>
        <w:ind w:firstLine="632" w:firstLineChars="200"/>
        <w:rPr>
          <w:rFonts w:hAnsi="仿宋" w:cs="仿宋_GB2312"/>
        </w:rPr>
      </w:pPr>
      <w:r>
        <w:rPr>
          <w:rFonts w:hint="eastAsia" w:hAnsi="仿宋" w:cs="仿宋_GB2312"/>
        </w:rPr>
        <w:t>（二）购买商品住房的面积超出本方案规定商品住房面积10</w:t>
      </w:r>
      <w:r>
        <w:rPr>
          <w:rFonts w:hint="eastAsia" w:hAnsi="仿宋" w:eastAsia="仿宋" w:cs="仿宋_GB2312"/>
        </w:rPr>
        <w:t>㎡</w:t>
      </w:r>
      <w:r>
        <w:rPr>
          <w:rFonts w:hint="eastAsia" w:hAnsi="仿宋" w:cs="仿宋_GB2312"/>
        </w:rPr>
        <w:t>以外至20</w:t>
      </w:r>
      <w:r>
        <w:rPr>
          <w:rFonts w:hint="eastAsia" w:hAnsi="仿宋" w:eastAsia="仿宋" w:cs="仿宋_GB2312"/>
        </w:rPr>
        <w:t>㎡</w:t>
      </w:r>
      <w:r>
        <w:rPr>
          <w:rFonts w:hint="eastAsia" w:hAnsi="仿宋" w:cs="仿宋_GB2312"/>
        </w:rPr>
        <w:t>（含）以内的部分，按县政府批准的优惠价1.2倍，即6228元/</w:t>
      </w:r>
      <w:r>
        <w:rPr>
          <w:rFonts w:hint="eastAsia" w:ascii="宋体" w:hAnsi="宋体" w:eastAsia="宋体" w:cs="宋体"/>
        </w:rPr>
        <w:t>㎡结算</w:t>
      </w:r>
      <w:r>
        <w:rPr>
          <w:rFonts w:hint="eastAsia" w:hAnsi="仿宋" w:cs="仿宋"/>
        </w:rPr>
        <w:t>（</w:t>
      </w:r>
      <w:r>
        <w:rPr>
          <w:rFonts w:hint="eastAsia" w:hAnsi="仿宋" w:cs="仿宋_GB2312"/>
        </w:rPr>
        <w:t>具体以县政府批准的价格为准</w:t>
      </w:r>
      <w:r>
        <w:rPr>
          <w:rFonts w:hint="eastAsia" w:hAnsi="仿宋" w:cs="仿宋"/>
        </w:rPr>
        <w:t>）</w:t>
      </w:r>
      <w:r>
        <w:rPr>
          <w:rFonts w:hint="eastAsia" w:hAnsi="仿宋" w:cs="仿宋_GB2312"/>
        </w:rPr>
        <w:t>；</w:t>
      </w:r>
    </w:p>
    <w:p>
      <w:pPr>
        <w:spacing w:line="560" w:lineRule="exact"/>
        <w:ind w:firstLine="632" w:firstLineChars="200"/>
        <w:rPr>
          <w:rFonts w:hAnsi="仿宋" w:cs="仿宋_GB2312"/>
        </w:rPr>
      </w:pPr>
      <w:r>
        <w:rPr>
          <w:rFonts w:hint="eastAsia" w:hAnsi="仿宋" w:cs="仿宋_GB2312"/>
        </w:rPr>
        <w:t>（三）购买商品住房的面积超出本方案规定商品住房20</w:t>
      </w:r>
      <w:r>
        <w:rPr>
          <w:rFonts w:hint="eastAsia" w:hAnsi="仿宋" w:eastAsia="仿宋" w:cs="仿宋_GB2312"/>
        </w:rPr>
        <w:t>㎡</w:t>
      </w:r>
      <w:r>
        <w:rPr>
          <w:rFonts w:hint="eastAsia" w:hAnsi="仿宋" w:cs="仿宋_GB2312"/>
        </w:rPr>
        <w:t>以外的部分（原则上最多不超过40平方米），按县政府批准的优惠价1.5倍，即7785元/</w:t>
      </w:r>
      <w:r>
        <w:rPr>
          <w:rFonts w:hint="eastAsia" w:ascii="宋体" w:hAnsi="宋体" w:eastAsia="宋体" w:cs="宋体"/>
        </w:rPr>
        <w:t>㎡结算</w:t>
      </w:r>
      <w:r>
        <w:rPr>
          <w:rFonts w:hint="eastAsia" w:hAnsi="仿宋" w:cs="仿宋"/>
        </w:rPr>
        <w:t>（</w:t>
      </w:r>
      <w:r>
        <w:rPr>
          <w:rFonts w:hint="eastAsia" w:hAnsi="仿宋" w:cs="仿宋_GB2312"/>
        </w:rPr>
        <w:t>具体以县政府批准的价格为准</w:t>
      </w:r>
      <w:r>
        <w:rPr>
          <w:rFonts w:hint="eastAsia" w:hAnsi="仿宋" w:cs="仿宋"/>
        </w:rPr>
        <w:t>）</w:t>
      </w:r>
      <w:r>
        <w:rPr>
          <w:rFonts w:hint="eastAsia" w:hAnsi="仿宋" w:cs="仿宋_GB2312"/>
        </w:rPr>
        <w:t>。</w:t>
      </w:r>
    </w:p>
    <w:p>
      <w:pPr>
        <w:spacing w:line="560" w:lineRule="exact"/>
        <w:ind w:firstLine="632" w:firstLineChars="200"/>
        <w:rPr>
          <w:rFonts w:hAnsi="仿宋" w:cs="仿宋_GB2312"/>
        </w:rPr>
      </w:pPr>
      <w:r>
        <w:rPr>
          <w:rFonts w:hint="eastAsia" w:hAnsi="仿宋" w:cs="仿宋_GB2312"/>
        </w:rPr>
        <w:t>二、商业用房结算</w:t>
      </w:r>
    </w:p>
    <w:p>
      <w:pPr>
        <w:spacing w:line="560" w:lineRule="exact"/>
        <w:ind w:firstLine="632" w:firstLineChars="200"/>
        <w:rPr>
          <w:rFonts w:hAnsi="仿宋" w:cs="仿宋_GB2312"/>
        </w:rPr>
      </w:pPr>
      <w:r>
        <w:rPr>
          <w:rFonts w:hint="eastAsia" w:hAnsi="仿宋" w:cs="仿宋_GB2312"/>
        </w:rPr>
        <w:t>商业用房价格在政策规定的面积标准内，分楼层按县政府批准的优惠价结算（按征收决定发布之日商业用房市场价的七折计算，具体以县政府批准的价格为准）。</w:t>
      </w:r>
    </w:p>
    <w:p>
      <w:pPr>
        <w:spacing w:line="560" w:lineRule="exact"/>
        <w:ind w:firstLine="632" w:firstLineChars="200"/>
        <w:rPr>
          <w:rFonts w:hAnsi="仿宋" w:cs="仿宋_GB2312"/>
        </w:rPr>
      </w:pPr>
      <w:r>
        <w:rPr>
          <w:rFonts w:hint="eastAsia" w:hAnsi="仿宋" w:cs="仿宋_GB2312"/>
        </w:rPr>
        <w:t>商业用房价格按县政府批准的优惠价8390元/㎡结算，超出可购买面积10</w:t>
      </w:r>
      <w:r>
        <w:rPr>
          <w:rFonts w:hint="eastAsia" w:hAnsi="仿宋" w:eastAsia="仿宋" w:cs="仿宋_GB2312"/>
        </w:rPr>
        <w:t>㎡</w:t>
      </w:r>
      <w:r>
        <w:rPr>
          <w:rFonts w:hint="eastAsia" w:hAnsi="仿宋" w:cs="仿宋_GB2312"/>
        </w:rPr>
        <w:t>（含）以内部分按县政府批准的优惠价1.2倍结算，即10068元/</w:t>
      </w:r>
      <w:r>
        <w:rPr>
          <w:rFonts w:hint="eastAsia" w:ascii="宋体" w:hAnsi="宋体" w:eastAsia="宋体" w:cs="宋体"/>
        </w:rPr>
        <w:t>㎡结算</w:t>
      </w:r>
      <w:r>
        <w:rPr>
          <w:rFonts w:hint="eastAsia" w:hAnsi="仿宋" w:cs="仿宋_GB2312"/>
        </w:rPr>
        <w:t>；超出可购买面积10</w:t>
      </w:r>
      <w:r>
        <w:rPr>
          <w:rFonts w:hint="eastAsia" w:hAnsi="仿宋" w:eastAsia="仿宋" w:cs="仿宋_GB2312"/>
        </w:rPr>
        <w:t>㎡</w:t>
      </w:r>
      <w:r>
        <w:rPr>
          <w:rFonts w:hint="eastAsia" w:hAnsi="仿宋" w:cs="仿宋_GB2312"/>
        </w:rPr>
        <w:t>以上部分按县政府批准的优惠价1.5倍结算，即12585元/</w:t>
      </w:r>
      <w:r>
        <w:rPr>
          <w:rFonts w:hint="eastAsia" w:ascii="宋体" w:hAnsi="宋体" w:eastAsia="宋体" w:cs="宋体"/>
        </w:rPr>
        <w:t>㎡结算</w:t>
      </w:r>
      <w:r>
        <w:rPr>
          <w:rFonts w:hint="eastAsia" w:hAnsi="仿宋" w:cs="仿宋_GB2312"/>
        </w:rPr>
        <w:t>。</w:t>
      </w:r>
    </w:p>
    <w:p>
      <w:pPr>
        <w:spacing w:line="560" w:lineRule="exact"/>
        <w:ind w:firstLine="632" w:firstLineChars="200"/>
        <w:rPr>
          <w:rFonts w:hAnsi="仿宋" w:cs="仿宋_GB2312"/>
        </w:rPr>
      </w:pPr>
      <w:r>
        <w:rPr>
          <w:rFonts w:hint="eastAsia" w:hAnsi="仿宋" w:cs="仿宋_GB2312"/>
          <w:b/>
        </w:rPr>
        <w:t xml:space="preserve">第二十三条 </w:t>
      </w:r>
      <w:r>
        <w:rPr>
          <w:rFonts w:hint="eastAsia" w:hAnsi="仿宋" w:cs="仿宋_GB2312"/>
        </w:rPr>
        <w:t>回迁商品住房、商业用房建设单位与被征收人双方应当按照国家的有关规定，向相关部门缴纳因商品房买卖发生的费用。</w:t>
      </w:r>
    </w:p>
    <w:p>
      <w:pPr>
        <w:numPr>
          <w:ilvl w:val="0"/>
          <w:numId w:val="1"/>
        </w:numPr>
        <w:spacing w:line="560" w:lineRule="exact"/>
        <w:jc w:val="center"/>
        <w:rPr>
          <w:rFonts w:hint="eastAsia" w:ascii="黑体" w:hAnsi="黑体" w:eastAsia="黑体" w:cs="黑体"/>
          <w:b w:val="0"/>
          <w:bCs/>
        </w:rPr>
      </w:pPr>
      <w:r>
        <w:rPr>
          <w:rFonts w:hint="eastAsia" w:ascii="黑体" w:hAnsi="黑体" w:eastAsia="黑体" w:cs="黑体"/>
          <w:b w:val="0"/>
          <w:bCs/>
        </w:rPr>
        <w:t>附 则</w:t>
      </w:r>
    </w:p>
    <w:p>
      <w:pPr>
        <w:spacing w:line="560" w:lineRule="exact"/>
        <w:ind w:firstLine="738"/>
        <w:rPr>
          <w:rFonts w:ascii="仿宋" w:hAnsi="仿宋" w:eastAsia="仿宋" w:cs="仿宋_GB2312"/>
        </w:rPr>
      </w:pPr>
      <w:r>
        <w:rPr>
          <w:rFonts w:hint="eastAsia" w:hAnsi="仿宋" w:cs="仿宋_GB2312"/>
          <w:b/>
        </w:rPr>
        <w:t xml:space="preserve">第二十四条 </w:t>
      </w:r>
      <w:r>
        <w:rPr>
          <w:rFonts w:hint="eastAsia" w:ascii="仿宋" w:hAnsi="仿宋" w:eastAsia="仿宋" w:cs="仿宋_GB2312"/>
        </w:rPr>
        <w:t>被征收人同时具备以下情形的，可按其购买县域内新建商品住房的面积享受500元/平方米的购房补贴：</w:t>
      </w:r>
    </w:p>
    <w:p>
      <w:pPr>
        <w:ind w:firstLine="632" w:firstLineChars="200"/>
        <w:rPr>
          <w:rFonts w:ascii="仿宋" w:hAnsi="仿宋" w:eastAsia="仿宋" w:cs="仿宋_GB2312"/>
        </w:rPr>
      </w:pPr>
      <w:r>
        <w:rPr>
          <w:rFonts w:hint="eastAsia" w:ascii="仿宋" w:hAnsi="仿宋" w:eastAsia="仿宋" w:cs="仿宋_GB2312"/>
        </w:rPr>
        <w:t>（一）在规定签约之日起60日内签订征收补偿安置协议的；</w:t>
      </w:r>
    </w:p>
    <w:p>
      <w:pPr>
        <w:ind w:firstLine="632" w:firstLineChars="200"/>
        <w:rPr>
          <w:rFonts w:ascii="仿宋" w:hAnsi="仿宋" w:eastAsia="仿宋" w:cs="仿宋_GB2312"/>
        </w:rPr>
      </w:pPr>
      <w:r>
        <w:rPr>
          <w:rFonts w:hint="eastAsia" w:ascii="仿宋" w:hAnsi="仿宋" w:eastAsia="仿宋" w:cs="仿宋_GB2312"/>
        </w:rPr>
        <w:t>（二）选择购买回迁商品住房的面积小于本方案规定应享受的安置面积的；</w:t>
      </w:r>
    </w:p>
    <w:p>
      <w:pPr>
        <w:ind w:firstLine="632" w:firstLineChars="200"/>
        <w:rPr>
          <w:rFonts w:ascii="仿宋" w:hAnsi="仿宋" w:eastAsia="仿宋" w:cs="仿宋_GB2312"/>
        </w:rPr>
      </w:pPr>
      <w:r>
        <w:rPr>
          <w:rFonts w:hint="eastAsia" w:ascii="仿宋" w:hAnsi="仿宋" w:eastAsia="仿宋" w:cs="仿宋_GB2312"/>
        </w:rPr>
        <w:t>（三）在签订征收补偿安置协议90日内在本县范围内又另行购买其他新建商品住房的。</w:t>
      </w:r>
    </w:p>
    <w:p>
      <w:pPr>
        <w:ind w:firstLine="632" w:firstLineChars="200"/>
        <w:rPr>
          <w:rFonts w:ascii="仿宋" w:hAnsi="仿宋" w:eastAsia="仿宋" w:cs="仿宋_GB2312"/>
        </w:rPr>
      </w:pPr>
      <w:r>
        <w:rPr>
          <w:rFonts w:hint="eastAsia" w:ascii="仿宋" w:hAnsi="仿宋" w:eastAsia="仿宋" w:cs="仿宋_GB2312"/>
        </w:rPr>
        <w:t>前款规定的购房补贴的计算面积，应不超过其所放弃购买回迁商品住房的面积。</w:t>
      </w:r>
    </w:p>
    <w:p>
      <w:pPr>
        <w:ind w:firstLine="632" w:firstLineChars="200"/>
        <w:rPr>
          <w:rFonts w:ascii="仿宋" w:hAnsi="仿宋" w:eastAsia="仿宋" w:cs="仿宋_GB2312"/>
        </w:rPr>
      </w:pPr>
      <w:r>
        <w:rPr>
          <w:rFonts w:hint="eastAsia" w:ascii="仿宋" w:hAnsi="仿宋" w:eastAsia="仿宋" w:cs="仿宋_GB2312"/>
        </w:rPr>
        <w:t>已享受购房补贴的，如遇退房情况，则不再享受此补贴，将依法收回。</w:t>
      </w:r>
    </w:p>
    <w:p>
      <w:pPr>
        <w:spacing w:line="560" w:lineRule="exact"/>
        <w:ind w:firstLine="738"/>
        <w:rPr>
          <w:rFonts w:hAnsi="仿宋" w:cs="仿宋_GB2312"/>
          <w:b/>
        </w:rPr>
      </w:pPr>
      <w:r>
        <w:rPr>
          <w:rFonts w:hint="eastAsia" w:ascii="仿宋" w:hAnsi="仿宋" w:eastAsia="仿宋" w:cs="仿宋_GB2312"/>
          <w:bCs/>
        </w:rPr>
        <w:t>被征收人必须在签订征收补偿安置协议之日起90日内持房屋买卖合同和付款凭证（或住房贷款合同）以及</w:t>
      </w:r>
      <w:r>
        <w:rPr>
          <w:rFonts w:hint="eastAsia" w:ascii="仿宋" w:hAnsi="仿宋" w:eastAsia="仿宋" w:cs="仿宋_GB2312"/>
          <w:bCs/>
          <w:lang w:eastAsia="zh-Hans"/>
        </w:rPr>
        <w:t>网</w:t>
      </w:r>
      <w:r>
        <w:rPr>
          <w:rFonts w:hint="eastAsia" w:ascii="仿宋" w:hAnsi="仿宋" w:eastAsia="仿宋" w:cs="仿宋_GB2312"/>
          <w:bCs/>
        </w:rPr>
        <w:t>签备案证明，到项目指挥部办理补贴领取手续，过期不予以受理。</w:t>
      </w:r>
    </w:p>
    <w:p>
      <w:pPr>
        <w:spacing w:line="560" w:lineRule="exact"/>
        <w:ind w:firstLine="738"/>
        <w:rPr>
          <w:rFonts w:hAnsi="仿宋" w:cs="仿宋_GB2312"/>
          <w:b/>
        </w:rPr>
      </w:pPr>
      <w:r>
        <w:rPr>
          <w:rFonts w:hint="eastAsia" w:hAnsi="仿宋" w:cs="仿宋_GB2312"/>
          <w:b/>
        </w:rPr>
        <w:t xml:space="preserve">第二十五条 </w:t>
      </w:r>
      <w:r>
        <w:rPr>
          <w:rFonts w:hint="eastAsia" w:hAnsi="仿宋" w:cs="仿宋_GB2312"/>
        </w:rPr>
        <w:t>房屋重置价是指</w:t>
      </w:r>
      <w:r>
        <w:rPr>
          <w:rFonts w:hint="eastAsia" w:hAnsi="仿宋" w:cs="仿宋_GB2312"/>
          <w:lang w:eastAsia="zh-Hans"/>
        </w:rPr>
        <w:t>在现实条件下，</w:t>
      </w:r>
      <w:r>
        <w:rPr>
          <w:rFonts w:hint="eastAsia" w:hAnsi="仿宋" w:cs="仿宋_GB2312"/>
        </w:rPr>
        <w:t>重新构建房屋的全部成本。</w:t>
      </w:r>
    </w:p>
    <w:p>
      <w:pPr>
        <w:spacing w:line="560" w:lineRule="exact"/>
        <w:ind w:firstLine="632" w:firstLineChars="200"/>
        <w:rPr>
          <w:rFonts w:hAnsi="仿宋" w:cs="仿宋_GB2312"/>
        </w:rPr>
      </w:pPr>
      <w:r>
        <w:rPr>
          <w:rFonts w:hint="eastAsia" w:hAnsi="仿宋" w:cs="仿宋_GB2312"/>
          <w:b/>
        </w:rPr>
        <w:t xml:space="preserve">第二十六条 </w:t>
      </w:r>
      <w:r>
        <w:rPr>
          <w:rFonts w:hint="eastAsia" w:hAnsi="仿宋" w:cs="仿宋_GB2312"/>
        </w:rPr>
        <w:t>被征收人搬迁过渡期间，涉及子女义务教育问题的，可选择在原片区就读。如搬迁后所在地与原片区较远，需要变更片区的，凭征收补偿安置协议书、房屋租赁合同、户口簿及身份证等相关材料向项目指挥部提出申请，由项目指挥部协调当地教育行政部门，根据相对就近入学的原则到有学位的指定学校就读。</w:t>
      </w:r>
    </w:p>
    <w:p>
      <w:pPr>
        <w:spacing w:line="560" w:lineRule="exact"/>
        <w:ind w:firstLine="632" w:firstLineChars="200"/>
        <w:rPr>
          <w:rFonts w:hAnsi="仿宋" w:cs="仿宋_GB2312"/>
        </w:rPr>
      </w:pPr>
      <w:r>
        <w:rPr>
          <w:rFonts w:hint="eastAsia" w:hAnsi="仿宋" w:cs="仿宋_GB2312"/>
          <w:b/>
        </w:rPr>
        <w:t xml:space="preserve">第二十七条 </w:t>
      </w:r>
      <w:r>
        <w:rPr>
          <w:rFonts w:hint="eastAsia" w:hAnsi="仿宋" w:cs="仿宋_GB2312"/>
        </w:rPr>
        <w:t>因被征收人家庭实际情况，确需对被征收财产分割的，只能在配偶、父母、子女、兄弟姐妹、祖父母、外祖父母、孙子女、外孙子女和其他具有法定抚养、赡养关系的亲属间进行。</w:t>
      </w:r>
    </w:p>
    <w:p>
      <w:pPr>
        <w:spacing w:line="560" w:lineRule="exact"/>
        <w:ind w:firstLine="632" w:firstLineChars="200"/>
        <w:rPr>
          <w:rFonts w:hAnsi="仿宋" w:cs="仿宋_GB2312"/>
        </w:rPr>
      </w:pPr>
      <w:r>
        <w:rPr>
          <w:rFonts w:hint="eastAsia" w:hAnsi="仿宋" w:cs="仿宋_GB2312"/>
          <w:b/>
        </w:rPr>
        <w:t xml:space="preserve">第二十八条 </w:t>
      </w:r>
      <w:r>
        <w:rPr>
          <w:rFonts w:hint="eastAsia" w:hAnsi="仿宋" w:cs="仿宋_GB2312"/>
        </w:rPr>
        <w:t>违反本方案规定，擅自提高补偿标准，或者弄假作虚、隐瞒虚报的，对直接负责的主管和其他直接责任人员依法给予行政处分；构成犯罪的，依法追究刑事责任。</w:t>
      </w:r>
    </w:p>
    <w:p>
      <w:pPr>
        <w:spacing w:line="560" w:lineRule="exact"/>
        <w:ind w:firstLine="632" w:firstLineChars="200"/>
        <w:rPr>
          <w:rFonts w:hAnsi="仿宋" w:cs="仿宋_GB2312"/>
        </w:rPr>
      </w:pPr>
      <w:r>
        <w:rPr>
          <w:rFonts w:hint="eastAsia" w:hAnsi="仿宋" w:cs="仿宋_GB2312"/>
        </w:rPr>
        <w:t>被征收人提供虚假证明材料骗取征收补偿、补助、奖励款的，依法追缴；构成犯罪的，依法追究刑事责任。</w:t>
      </w:r>
    </w:p>
    <w:p>
      <w:pPr>
        <w:spacing w:line="560" w:lineRule="exact"/>
        <w:ind w:firstLine="632" w:firstLineChars="200"/>
        <w:rPr>
          <w:rFonts w:hAnsi="仿宋" w:cs="仿宋_GB2312"/>
          <w:b/>
        </w:rPr>
      </w:pPr>
      <w:r>
        <w:rPr>
          <w:rFonts w:hint="eastAsia" w:hAnsi="仿宋" w:cs="仿宋_GB2312"/>
          <w:b/>
        </w:rPr>
        <w:t xml:space="preserve">第二十九条 </w:t>
      </w:r>
      <w:r>
        <w:rPr>
          <w:rFonts w:hint="eastAsia" w:hAnsi="仿宋" w:cs="仿宋_GB2312"/>
        </w:rPr>
        <w:t>被征收人不配合征收，在征收决定公告确定的签约期限内未签订补偿协议的，由临高县政府依照《国有土地上房屋征收与补偿条例》的规定，按照征收补偿方案作出补偿决定，被征收人在法定期限内不申请行政复议或者不提起行政诉讼，在补偿决定规定的期限内又不搬迁的，临高县政府申请人民法院强制执行。</w:t>
      </w:r>
    </w:p>
    <w:p>
      <w:pPr>
        <w:spacing w:line="560" w:lineRule="exact"/>
        <w:ind w:firstLine="632" w:firstLineChars="200"/>
        <w:rPr>
          <w:rFonts w:hAnsi="仿宋" w:cs="仿宋_GB2312"/>
        </w:rPr>
      </w:pPr>
      <w:r>
        <w:rPr>
          <w:rFonts w:hint="eastAsia" w:hAnsi="仿宋" w:cs="仿宋_GB2312"/>
          <w:b/>
        </w:rPr>
        <w:t xml:space="preserve">第三十条 </w:t>
      </w:r>
      <w:r>
        <w:rPr>
          <w:rFonts w:hint="eastAsia" w:hAnsi="仿宋" w:cs="仿宋_GB2312"/>
        </w:rPr>
        <w:t>房屋征收补偿工作中特殊情形的处理，由房屋征收部门参照本方案执行或报县政府批准后实施。如本方案规定不明确的，以县政府制定的补充政策或上级有关规定为准。</w:t>
      </w:r>
    </w:p>
    <w:p>
      <w:pPr>
        <w:spacing w:line="560" w:lineRule="exact"/>
        <w:ind w:firstLine="632" w:firstLineChars="200"/>
        <w:rPr>
          <w:rFonts w:hAnsi="仿宋" w:cs="仿宋_GB2312"/>
        </w:rPr>
      </w:pPr>
      <w:r>
        <w:rPr>
          <w:rFonts w:hint="eastAsia" w:hAnsi="仿宋" w:cs="仿宋_GB2312"/>
          <w:b/>
        </w:rPr>
        <w:t xml:space="preserve">第三十一条 </w:t>
      </w:r>
      <w:r>
        <w:rPr>
          <w:rFonts w:hint="eastAsia" w:hAnsi="仿宋" w:cs="仿宋_GB2312"/>
        </w:rPr>
        <w:t>本方案的实施期限自发布征收决定之日起至房屋征收补偿安置工作结束止。</w:t>
      </w:r>
    </w:p>
    <w:p>
      <w:pPr>
        <w:spacing w:line="560" w:lineRule="exact"/>
        <w:ind w:firstLine="632" w:firstLineChars="200"/>
        <w:rPr>
          <w:rFonts w:hAnsi="仿宋" w:cs="仿宋_GB2312"/>
        </w:rPr>
      </w:pPr>
      <w:r>
        <w:rPr>
          <w:rFonts w:hint="eastAsia" w:hAnsi="仿宋" w:cs="仿宋_GB2312"/>
        </w:rPr>
        <w:t>本方案最终解释权归临高县人民政府所有。</w:t>
      </w: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pStyle w:val="6"/>
        <w:spacing w:line="560" w:lineRule="exact"/>
        <w:ind w:firstLine="0" w:firstLineChars="0"/>
        <w:rPr>
          <w:rFonts w:hAnsi="仿宋"/>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临高县临城镇老城区城市更新项目一期</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基准单价表</w:t>
      </w:r>
    </w:p>
    <w:p>
      <w:pPr>
        <w:spacing w:line="560" w:lineRule="exact"/>
        <w:ind w:firstLine="632" w:firstLineChars="200"/>
        <w:jc w:val="center"/>
        <w:rPr>
          <w:rFonts w:hAnsi="仿宋" w:cs="仿宋_GB2312"/>
        </w:rPr>
      </w:pPr>
    </w:p>
    <w:tbl>
      <w:tblPr>
        <w:tblStyle w:val="4"/>
        <w:tblW w:w="9997" w:type="dxa"/>
        <w:jc w:val="center"/>
        <w:tblLayout w:type="fixed"/>
        <w:tblCellMar>
          <w:top w:w="0" w:type="dxa"/>
          <w:left w:w="108" w:type="dxa"/>
          <w:bottom w:w="0" w:type="dxa"/>
          <w:right w:w="108" w:type="dxa"/>
        </w:tblCellMar>
      </w:tblPr>
      <w:tblGrid>
        <w:gridCol w:w="1189"/>
        <w:gridCol w:w="1392"/>
        <w:gridCol w:w="1392"/>
        <w:gridCol w:w="1552"/>
        <w:gridCol w:w="1520"/>
        <w:gridCol w:w="1480"/>
        <w:gridCol w:w="1472"/>
      </w:tblGrid>
      <w:tr>
        <w:tblPrEx>
          <w:tblCellMar>
            <w:top w:w="0" w:type="dxa"/>
            <w:left w:w="108" w:type="dxa"/>
            <w:bottom w:w="0" w:type="dxa"/>
            <w:right w:w="108" w:type="dxa"/>
          </w:tblCellMar>
        </w:tblPrEx>
        <w:trPr>
          <w:trHeight w:val="353" w:hRule="atLeast"/>
          <w:jc w:val="center"/>
        </w:trPr>
        <w:tc>
          <w:tcPr>
            <w:tcW w:w="999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1、土地使用权</w:t>
            </w:r>
          </w:p>
        </w:tc>
      </w:tr>
      <w:tr>
        <w:tblPrEx>
          <w:tblCellMar>
            <w:top w:w="0" w:type="dxa"/>
            <w:left w:w="108" w:type="dxa"/>
            <w:bottom w:w="0" w:type="dxa"/>
            <w:right w:w="108" w:type="dxa"/>
          </w:tblCellMar>
        </w:tblPrEx>
        <w:trPr>
          <w:trHeight w:val="1239"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土地用途</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住宅用地（出让，容积率2.5）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工业用地（出让）</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工业用地（划拨，扣土地出让金）</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机关团体用地（设定容积率0.3，扣土地出让金）</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新闻出版用地（设定容积率0.3，扣土地出让金）</w:t>
            </w:r>
          </w:p>
        </w:tc>
      </w:tr>
      <w:tr>
        <w:tblPrEx>
          <w:tblCellMar>
            <w:top w:w="0" w:type="dxa"/>
            <w:left w:w="108" w:type="dxa"/>
            <w:bottom w:w="0" w:type="dxa"/>
            <w:right w:w="108" w:type="dxa"/>
          </w:tblCellMar>
        </w:tblPrEx>
        <w:trPr>
          <w:trHeight w:val="625" w:hRule="atLeast"/>
          <w:jc w:val="center"/>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土地单价</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（万元/亩）</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167.33 </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26.47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15.87 </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20.07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21.47 </w:t>
            </w:r>
          </w:p>
        </w:tc>
      </w:tr>
      <w:tr>
        <w:tblPrEx>
          <w:tblCellMar>
            <w:top w:w="0" w:type="dxa"/>
            <w:left w:w="108" w:type="dxa"/>
            <w:bottom w:w="0" w:type="dxa"/>
            <w:right w:w="108" w:type="dxa"/>
          </w:tblCellMar>
        </w:tblPrEx>
        <w:trPr>
          <w:trHeight w:val="625" w:hRule="atLeast"/>
          <w:jc w:val="center"/>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2,510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397</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238</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301</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322</w:t>
            </w:r>
          </w:p>
        </w:tc>
      </w:tr>
      <w:tr>
        <w:tblPrEx>
          <w:tblCellMar>
            <w:top w:w="0" w:type="dxa"/>
            <w:left w:w="108" w:type="dxa"/>
            <w:bottom w:w="0" w:type="dxa"/>
            <w:right w:w="108" w:type="dxa"/>
          </w:tblCellMar>
        </w:tblPrEx>
        <w:trPr>
          <w:trHeight w:val="1546"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土地用途</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教育用地（设定容积率0.3，扣土地出让金）</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科研用地（设定容积率0.3，扣土地出让金）</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医疗卫生用地（设定容积率0.3，扣土地出让金）</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社会福利用地（设定容积率0.3，扣土地出让金）</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文化设施用地（设定容积率0.3，扣土地出让金）</w:t>
            </w:r>
          </w:p>
        </w:tc>
      </w:tr>
      <w:tr>
        <w:tblPrEx>
          <w:tblCellMar>
            <w:top w:w="0" w:type="dxa"/>
            <w:left w:w="108" w:type="dxa"/>
            <w:bottom w:w="0" w:type="dxa"/>
            <w:right w:w="108" w:type="dxa"/>
          </w:tblCellMar>
        </w:tblPrEx>
        <w:trPr>
          <w:trHeight w:val="625" w:hRule="atLeast"/>
          <w:jc w:val="center"/>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土地单价</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（万元/亩）</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21.47 </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21.47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21.47 </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20.07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20.07 </w:t>
            </w:r>
          </w:p>
        </w:tc>
      </w:tr>
      <w:tr>
        <w:tblPrEx>
          <w:tblCellMar>
            <w:top w:w="0" w:type="dxa"/>
            <w:left w:w="108" w:type="dxa"/>
            <w:bottom w:w="0" w:type="dxa"/>
            <w:right w:w="108" w:type="dxa"/>
          </w:tblCellMar>
        </w:tblPrEx>
        <w:trPr>
          <w:trHeight w:val="625" w:hRule="atLeast"/>
          <w:jc w:val="center"/>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322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322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322</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301</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301</w:t>
            </w:r>
          </w:p>
        </w:tc>
      </w:tr>
      <w:tr>
        <w:tblPrEx>
          <w:tblCellMar>
            <w:top w:w="0" w:type="dxa"/>
            <w:left w:w="108" w:type="dxa"/>
            <w:bottom w:w="0" w:type="dxa"/>
            <w:right w:w="108" w:type="dxa"/>
          </w:tblCellMar>
        </w:tblPrEx>
        <w:trPr>
          <w:trHeight w:val="1424"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土地用途</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体育用地（设定容积率0.3，扣土地出让金）</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公用设施用地（设定容积率0.3，扣土地出让金）</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公园与绿地（设定容积率0.3，扣土地出让金）</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公路用地（设定容积率0.3，扣土地出让金）</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城镇村道路用地（设定容积率0.3，扣土地出让金）</w:t>
            </w:r>
          </w:p>
        </w:tc>
      </w:tr>
      <w:tr>
        <w:tblPrEx>
          <w:tblCellMar>
            <w:top w:w="0" w:type="dxa"/>
            <w:left w:w="108" w:type="dxa"/>
            <w:bottom w:w="0" w:type="dxa"/>
            <w:right w:w="108" w:type="dxa"/>
          </w:tblCellMar>
        </w:tblPrEx>
        <w:trPr>
          <w:trHeight w:val="625" w:hRule="atLeast"/>
          <w:jc w:val="center"/>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土地单价</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（万元/亩）</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20.07 </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15.47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15.47 </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11.87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11.87 </w:t>
            </w:r>
          </w:p>
        </w:tc>
      </w:tr>
      <w:tr>
        <w:tblPrEx>
          <w:tblCellMar>
            <w:top w:w="0" w:type="dxa"/>
            <w:left w:w="108" w:type="dxa"/>
            <w:bottom w:w="0" w:type="dxa"/>
            <w:right w:w="108" w:type="dxa"/>
          </w:tblCellMar>
        </w:tblPrEx>
        <w:trPr>
          <w:trHeight w:val="625" w:hRule="atLeast"/>
          <w:jc w:val="center"/>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232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232</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178</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178</w:t>
            </w:r>
          </w:p>
        </w:tc>
      </w:tr>
      <w:tr>
        <w:tblPrEx>
          <w:tblCellMar>
            <w:top w:w="0" w:type="dxa"/>
            <w:left w:w="108" w:type="dxa"/>
            <w:bottom w:w="0" w:type="dxa"/>
            <w:right w:w="108" w:type="dxa"/>
          </w:tblCellMar>
        </w:tblPrEx>
        <w:trPr>
          <w:trHeight w:val="317" w:hRule="atLeast"/>
          <w:jc w:val="center"/>
        </w:trPr>
        <w:tc>
          <w:tcPr>
            <w:tcW w:w="999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2、住宅房产</w:t>
            </w:r>
          </w:p>
        </w:tc>
      </w:tr>
      <w:tr>
        <w:tblPrEx>
          <w:tblCellMar>
            <w:top w:w="0" w:type="dxa"/>
            <w:left w:w="108" w:type="dxa"/>
            <w:bottom w:w="0" w:type="dxa"/>
            <w:right w:w="108" w:type="dxa"/>
          </w:tblCellMar>
        </w:tblPrEx>
        <w:trPr>
          <w:trHeight w:val="323" w:hRule="atLeast"/>
          <w:jc w:val="center"/>
        </w:trPr>
        <w:tc>
          <w:tcPr>
            <w:tcW w:w="258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房产类型</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结构</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房产重置单价</w:t>
            </w:r>
          </w:p>
        </w:tc>
        <w:tc>
          <w:tcPr>
            <w:tcW w:w="295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控制成新率</w:t>
            </w:r>
          </w:p>
        </w:tc>
      </w:tr>
      <w:tr>
        <w:tblPrEx>
          <w:tblCellMar>
            <w:top w:w="0" w:type="dxa"/>
            <w:left w:w="108" w:type="dxa"/>
            <w:bottom w:w="0" w:type="dxa"/>
            <w:right w:w="108" w:type="dxa"/>
          </w:tblCellMar>
        </w:tblPrEx>
        <w:trPr>
          <w:trHeight w:val="371"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元/㎡</w:t>
            </w:r>
          </w:p>
        </w:tc>
        <w:tc>
          <w:tcPr>
            <w:tcW w:w="295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65" w:hRule="atLeast"/>
          <w:jc w:val="center"/>
        </w:trPr>
        <w:tc>
          <w:tcPr>
            <w:tcW w:w="258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自建住宅</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（房地分估）</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框架一等</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1,890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w:t>
            </w:r>
          </w:p>
        </w:tc>
      </w:tr>
      <w:tr>
        <w:tblPrEx>
          <w:tblCellMar>
            <w:top w:w="0" w:type="dxa"/>
            <w:left w:w="108" w:type="dxa"/>
            <w:bottom w:w="0" w:type="dxa"/>
            <w:right w:w="108" w:type="dxa"/>
          </w:tblCellMar>
        </w:tblPrEx>
        <w:trPr>
          <w:trHeight w:val="323"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框架二等</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1,740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w:t>
            </w:r>
          </w:p>
        </w:tc>
      </w:tr>
      <w:tr>
        <w:tblPrEx>
          <w:tblCellMar>
            <w:top w:w="0" w:type="dxa"/>
            <w:left w:w="108" w:type="dxa"/>
            <w:bottom w:w="0" w:type="dxa"/>
            <w:right w:w="108" w:type="dxa"/>
          </w:tblCellMar>
        </w:tblPrEx>
        <w:trPr>
          <w:trHeight w:val="323"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混合一等</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1,790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93%</w:t>
            </w:r>
          </w:p>
        </w:tc>
      </w:tr>
      <w:tr>
        <w:tblPrEx>
          <w:tblCellMar>
            <w:top w:w="0" w:type="dxa"/>
            <w:left w:w="108" w:type="dxa"/>
            <w:bottom w:w="0" w:type="dxa"/>
            <w:right w:w="108" w:type="dxa"/>
          </w:tblCellMar>
        </w:tblPrEx>
        <w:trPr>
          <w:trHeight w:val="323"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混合二等</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1,390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93%</w:t>
            </w:r>
          </w:p>
        </w:tc>
      </w:tr>
      <w:tr>
        <w:tblPrEx>
          <w:tblCellMar>
            <w:top w:w="0" w:type="dxa"/>
            <w:left w:w="108" w:type="dxa"/>
            <w:bottom w:w="0" w:type="dxa"/>
            <w:right w:w="108" w:type="dxa"/>
          </w:tblCellMar>
        </w:tblPrEx>
        <w:trPr>
          <w:trHeight w:val="323"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砖木</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1,290 </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88%</w:t>
            </w:r>
          </w:p>
        </w:tc>
      </w:tr>
      <w:tr>
        <w:tblPrEx>
          <w:tblCellMar>
            <w:top w:w="0" w:type="dxa"/>
            <w:left w:w="108" w:type="dxa"/>
            <w:bottom w:w="0" w:type="dxa"/>
            <w:right w:w="108" w:type="dxa"/>
          </w:tblCellMar>
        </w:tblPrEx>
        <w:trPr>
          <w:trHeight w:val="384" w:hRule="atLeast"/>
          <w:jc w:val="center"/>
        </w:trPr>
        <w:tc>
          <w:tcPr>
            <w:tcW w:w="258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自建住宅</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（房地合估）</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框架</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4380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w:t>
            </w:r>
          </w:p>
        </w:tc>
      </w:tr>
      <w:tr>
        <w:tblPrEx>
          <w:tblCellMar>
            <w:top w:w="0" w:type="dxa"/>
            <w:left w:w="108" w:type="dxa"/>
            <w:bottom w:w="0" w:type="dxa"/>
            <w:right w:w="108" w:type="dxa"/>
          </w:tblCellMar>
        </w:tblPrEx>
        <w:trPr>
          <w:trHeight w:val="384"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混合</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4180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93%</w:t>
            </w:r>
          </w:p>
        </w:tc>
      </w:tr>
      <w:tr>
        <w:tblPrEx>
          <w:tblCellMar>
            <w:top w:w="0" w:type="dxa"/>
            <w:left w:w="108" w:type="dxa"/>
            <w:bottom w:w="0" w:type="dxa"/>
            <w:right w:w="108" w:type="dxa"/>
          </w:tblCellMar>
        </w:tblPrEx>
        <w:trPr>
          <w:trHeight w:val="384"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砖木</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3690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88%</w:t>
            </w:r>
          </w:p>
        </w:tc>
      </w:tr>
      <w:tr>
        <w:tblPrEx>
          <w:tblCellMar>
            <w:top w:w="0" w:type="dxa"/>
            <w:left w:w="108" w:type="dxa"/>
            <w:bottom w:w="0" w:type="dxa"/>
            <w:right w:w="108" w:type="dxa"/>
          </w:tblCellMar>
        </w:tblPrEx>
        <w:trPr>
          <w:trHeight w:val="384" w:hRule="atLeast"/>
          <w:jc w:val="center"/>
        </w:trPr>
        <w:tc>
          <w:tcPr>
            <w:tcW w:w="999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3、商业房产</w:t>
            </w:r>
          </w:p>
        </w:tc>
      </w:tr>
      <w:tr>
        <w:tblPrEx>
          <w:tblCellMar>
            <w:top w:w="0" w:type="dxa"/>
            <w:left w:w="108" w:type="dxa"/>
            <w:bottom w:w="0" w:type="dxa"/>
            <w:right w:w="108" w:type="dxa"/>
          </w:tblCellMar>
        </w:tblPrEx>
        <w:trPr>
          <w:trHeight w:val="1239"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商业房产</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结构差价修正</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商业A类房地产（设定容积率1.2含地）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商业B类房地产（设定容积率1.2含地）</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商业C类房地产（设定容积率1.2含地）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控制最高成新率</w:t>
            </w:r>
          </w:p>
        </w:tc>
      </w:tr>
      <w:tr>
        <w:tblPrEx>
          <w:tblCellMar>
            <w:top w:w="0" w:type="dxa"/>
            <w:left w:w="108" w:type="dxa"/>
            <w:bottom w:w="0" w:type="dxa"/>
            <w:right w:w="108" w:type="dxa"/>
          </w:tblCellMar>
        </w:tblPrEx>
        <w:trPr>
          <w:trHeight w:val="1239"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位置</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解放路/跃进路/中镇街/工镇街/新镇路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临新路/江北路</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片区商业/其他路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84"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框架</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11,490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10,540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9,580</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w:t>
            </w:r>
          </w:p>
        </w:tc>
      </w:tr>
      <w:tr>
        <w:tblPrEx>
          <w:tblCellMar>
            <w:top w:w="0" w:type="dxa"/>
            <w:left w:w="108" w:type="dxa"/>
            <w:bottom w:w="0" w:type="dxa"/>
            <w:right w:w="108" w:type="dxa"/>
          </w:tblCellMar>
        </w:tblPrEx>
        <w:trPr>
          <w:trHeight w:val="384"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混合</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10,490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9,540 </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8,580 </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93%</w:t>
            </w:r>
          </w:p>
        </w:tc>
      </w:tr>
      <w:tr>
        <w:tblPrEx>
          <w:tblCellMar>
            <w:top w:w="0" w:type="dxa"/>
            <w:left w:w="108" w:type="dxa"/>
            <w:bottom w:w="0" w:type="dxa"/>
            <w:right w:w="108" w:type="dxa"/>
          </w:tblCellMar>
        </w:tblPrEx>
        <w:trPr>
          <w:trHeight w:val="384"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砖木</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-2,000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9,490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8,540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7,580</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88%</w:t>
            </w:r>
          </w:p>
        </w:tc>
      </w:tr>
      <w:tr>
        <w:tblPrEx>
          <w:tblCellMar>
            <w:top w:w="0" w:type="dxa"/>
            <w:left w:w="108" w:type="dxa"/>
            <w:bottom w:w="0" w:type="dxa"/>
            <w:right w:w="108" w:type="dxa"/>
          </w:tblCellMar>
        </w:tblPrEx>
        <w:trPr>
          <w:trHeight w:val="384"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楼层</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第一层</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第二层</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第三层及以上</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84"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修正系数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r>
      <w:tr>
        <w:tblPrEx>
          <w:tblCellMar>
            <w:top w:w="0" w:type="dxa"/>
            <w:left w:w="108" w:type="dxa"/>
            <w:bottom w:w="0" w:type="dxa"/>
            <w:right w:w="108" w:type="dxa"/>
          </w:tblCellMar>
        </w:tblPrEx>
        <w:trPr>
          <w:trHeight w:val="384" w:hRule="atLeast"/>
          <w:jc w:val="center"/>
        </w:trPr>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23" w:hRule="atLeast"/>
          <w:jc w:val="center"/>
        </w:trPr>
        <w:tc>
          <w:tcPr>
            <w:tcW w:w="99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4、房屋装修</w:t>
            </w:r>
          </w:p>
        </w:tc>
      </w:tr>
      <w:tr>
        <w:tblPrEx>
          <w:tblCellMar>
            <w:top w:w="0" w:type="dxa"/>
            <w:left w:w="108" w:type="dxa"/>
            <w:bottom w:w="0" w:type="dxa"/>
            <w:right w:w="108" w:type="dxa"/>
          </w:tblCellMar>
        </w:tblPrEx>
        <w:trPr>
          <w:trHeight w:val="338"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装修档次</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w:t>
            </w: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装修标准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简单装修</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简+装修</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简/普装修</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普通装修</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普+装修</w:t>
            </w:r>
          </w:p>
        </w:tc>
      </w:tr>
      <w:tr>
        <w:tblPrEx>
          <w:tblCellMar>
            <w:top w:w="0" w:type="dxa"/>
            <w:left w:w="108" w:type="dxa"/>
            <w:bottom w:w="0" w:type="dxa"/>
            <w:right w:w="108" w:type="dxa"/>
          </w:tblCellMar>
        </w:tblPrEx>
        <w:trPr>
          <w:trHeight w:val="338"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评估单价</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50-300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350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450-500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550</w:t>
            </w:r>
          </w:p>
        </w:tc>
      </w:tr>
      <w:tr>
        <w:tblPrEx>
          <w:tblCellMar>
            <w:top w:w="0" w:type="dxa"/>
            <w:left w:w="108" w:type="dxa"/>
            <w:bottom w:w="0" w:type="dxa"/>
            <w:right w:w="108" w:type="dxa"/>
          </w:tblCellMar>
        </w:tblPrEx>
        <w:trPr>
          <w:trHeight w:val="323"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装修档次</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装修标准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普/中装修</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中档装修</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中+装修</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中/高装修</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高档装修</w:t>
            </w: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评估单价</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600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650-700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750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800-900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950-1000</w:t>
            </w:r>
          </w:p>
        </w:tc>
      </w:tr>
      <w:tr>
        <w:tblPrEx>
          <w:tblCellMar>
            <w:top w:w="0" w:type="dxa"/>
            <w:left w:w="108" w:type="dxa"/>
            <w:bottom w:w="0" w:type="dxa"/>
            <w:right w:w="108" w:type="dxa"/>
          </w:tblCellMar>
        </w:tblPrEx>
        <w:trPr>
          <w:trHeight w:val="317" w:hRule="atLeast"/>
          <w:jc w:val="center"/>
        </w:trPr>
        <w:tc>
          <w:tcPr>
            <w:tcW w:w="9997"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装修档次超过以上标准的，由评估公司确定。</w:t>
            </w:r>
          </w:p>
        </w:tc>
      </w:tr>
      <w:tr>
        <w:tblPrEx>
          <w:tblCellMar>
            <w:top w:w="0" w:type="dxa"/>
            <w:left w:w="108" w:type="dxa"/>
            <w:bottom w:w="0" w:type="dxa"/>
            <w:right w:w="108" w:type="dxa"/>
          </w:tblCellMar>
        </w:tblPrEx>
        <w:trPr>
          <w:trHeight w:val="317" w:hRule="atLeast"/>
          <w:jc w:val="center"/>
        </w:trPr>
        <w:tc>
          <w:tcPr>
            <w:tcW w:w="9997"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5、附属物</w:t>
            </w:r>
          </w:p>
        </w:tc>
      </w:tr>
      <w:tr>
        <w:tblPrEx>
          <w:tblCellMar>
            <w:top w:w="0" w:type="dxa"/>
            <w:left w:w="108" w:type="dxa"/>
            <w:bottom w:w="0" w:type="dxa"/>
            <w:right w:w="108" w:type="dxa"/>
          </w:tblCellMar>
        </w:tblPrEx>
        <w:trPr>
          <w:trHeight w:val="317" w:hRule="atLeast"/>
          <w:jc w:val="center"/>
        </w:trPr>
        <w:tc>
          <w:tcPr>
            <w:tcW w:w="25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附属物名称</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评估单价</w:t>
            </w: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附属物名称</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单位</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评估单价</w:t>
            </w:r>
          </w:p>
        </w:tc>
      </w:tr>
      <w:tr>
        <w:tblPrEx>
          <w:tblCellMar>
            <w:top w:w="0" w:type="dxa"/>
            <w:left w:w="108" w:type="dxa"/>
            <w:bottom w:w="0" w:type="dxa"/>
            <w:right w:w="108" w:type="dxa"/>
          </w:tblCellMar>
        </w:tblPrEx>
        <w:trPr>
          <w:trHeight w:val="317"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元/单位</w:t>
            </w: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元/单位</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红砖砖铁</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450-600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空心砖垒石墙</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80-100</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其他砖铁</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300-400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红砖批挡围墙</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150-200</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红砖砖简</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红砖石砖围墙</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150-180</w:t>
            </w: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其他砖简</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350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铁皮房</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250-300</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简易带硬化地面</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120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基础带地梁</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250-350</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简易棚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50-80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村内硬化道路</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180-250</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硬化地面</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60-100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庭院水管铁门</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200</w:t>
            </w: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砖砌女儿墙</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挡土墙</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m³</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350-500</w:t>
            </w: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瓷砖女儿墙</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150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砼水池</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m³</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300-450</w:t>
            </w: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罗马柱女儿墙</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钻井</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200-250</w:t>
            </w: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铁皮棚带硬化</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150-200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口径井</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1000-1200</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基础不带地梁</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130-200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不锈钢水箱</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个</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2000-3000</w:t>
            </w:r>
          </w:p>
        </w:tc>
      </w:tr>
      <w:tr>
        <w:tblPrEx>
          <w:tblCellMar>
            <w:top w:w="0" w:type="dxa"/>
            <w:left w:w="108" w:type="dxa"/>
            <w:bottom w:w="0" w:type="dxa"/>
            <w:right w:w="108" w:type="dxa"/>
          </w:tblCellMar>
        </w:tblPrEx>
        <w:trPr>
          <w:trHeight w:val="317" w:hRule="atLeast"/>
          <w:jc w:val="center"/>
        </w:trPr>
        <w:tc>
          <w:tcPr>
            <w:tcW w:w="25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附属物--林木</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分类</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胸径</w:t>
            </w: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树高</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评估单价</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备注</w:t>
            </w:r>
          </w:p>
        </w:tc>
      </w:tr>
      <w:tr>
        <w:tblPrEx>
          <w:tblCellMar>
            <w:top w:w="0" w:type="dxa"/>
            <w:left w:w="108" w:type="dxa"/>
            <w:bottom w:w="0" w:type="dxa"/>
            <w:right w:w="108" w:type="dxa"/>
          </w:tblCellMar>
        </w:tblPrEx>
        <w:trPr>
          <w:trHeight w:val="317"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元/株</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果树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特大株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大于20cm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650</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木瓜、香蕉:大株100中株50小株20，其它树木参照国土标准</w:t>
            </w: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果树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大株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大于10-20cm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450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果树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5-10cm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250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果树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小株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小于5cm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≥0.5m</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果树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0"/>
                <w:szCs w:val="20"/>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小于0.5m</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杂树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特大株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大于30cm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350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625"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杂树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大株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大于15-30cm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杂树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5-15cm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杂树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小株</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小于5cm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≥0.5m</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杂树</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苗</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eastAsia="宋体" w:cs="宋体"/>
                <w:sz w:val="20"/>
                <w:szCs w:val="20"/>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小于0.5m</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7" w:hRule="atLeast"/>
          <w:jc w:val="center"/>
        </w:trPr>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6、安置房参考价格</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r>
      <w:tr>
        <w:tblPrEx>
          <w:tblCellMar>
            <w:top w:w="0" w:type="dxa"/>
            <w:left w:w="108" w:type="dxa"/>
            <w:bottom w:w="0" w:type="dxa"/>
            <w:right w:w="108" w:type="dxa"/>
          </w:tblCellMar>
        </w:tblPrEx>
        <w:trPr>
          <w:trHeight w:val="365" w:hRule="atLeast"/>
          <w:jc w:val="center"/>
        </w:trPr>
        <w:tc>
          <w:tcPr>
            <w:tcW w:w="25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安置商业用房</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市场价值</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11980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（设定容积率2.8含地）</w:t>
            </w:r>
          </w:p>
        </w:tc>
      </w:tr>
      <w:tr>
        <w:tblPrEx>
          <w:tblCellMar>
            <w:top w:w="0" w:type="dxa"/>
            <w:left w:w="108" w:type="dxa"/>
            <w:bottom w:w="0" w:type="dxa"/>
            <w:right w:w="108" w:type="dxa"/>
          </w:tblCellMar>
        </w:tblPrEx>
        <w:trPr>
          <w:trHeight w:val="365" w:hRule="atLeast"/>
          <w:jc w:val="center"/>
        </w:trPr>
        <w:tc>
          <w:tcPr>
            <w:tcW w:w="25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优惠购买价</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8390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按政府批准的七折优惠价格计算</w:t>
            </w:r>
          </w:p>
        </w:tc>
      </w:tr>
      <w:tr>
        <w:tblPrEx>
          <w:tblCellMar>
            <w:top w:w="0" w:type="dxa"/>
            <w:left w:w="108" w:type="dxa"/>
            <w:bottom w:w="0" w:type="dxa"/>
            <w:right w:w="108" w:type="dxa"/>
          </w:tblCellMar>
        </w:tblPrEx>
        <w:trPr>
          <w:trHeight w:val="414" w:hRule="atLeast"/>
          <w:jc w:val="center"/>
        </w:trPr>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安置商品住房</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安置房回购价</w:t>
            </w:r>
          </w:p>
        </w:tc>
        <w:tc>
          <w:tcPr>
            <w:tcW w:w="3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5190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（设定容积率2.8含地）</w:t>
            </w:r>
          </w:p>
        </w:tc>
      </w:tr>
    </w:tbl>
    <w:p>
      <w:bookmarkStart w:id="0" w:name="_GoBack"/>
      <w:bookmarkEnd w:id="0"/>
    </w:p>
    <w:sectPr>
      <w:headerReference r:id="rId3" w:type="default"/>
      <w:footerReference r:id="rId5" w:type="default"/>
      <w:headerReference r:id="rId4" w:type="even"/>
      <w:footerReference r:id="rId6" w:type="even"/>
      <w:pgSz w:w="11906" w:h="16838"/>
      <w:pgMar w:top="1757" w:right="1474" w:bottom="1757" w:left="1588"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1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path/>
              <v:fill on="f" focussize="0,0"/>
              <v:stroke on="f" joinstyle="miter"/>
              <v:imagedata o:title=""/>
              <o:lock v:ext="edit"/>
              <v:textbox inset="0mm,0mm,0mm,0mm" style="mso-fit-shape-to-text:t;">
                <w:txbxContent>
                  <w:p>
                    <w:pPr>
                      <w:snapToGrid w:val="0"/>
                      <w:rPr>
                        <w:sz w:val="18"/>
                      </w:rPr>
                    </w:pPr>
                    <w:r>
                      <w:rPr>
                        <w:rFonts w:hint="eastAsia"/>
                        <w:sz w:val="1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jc w:val="lef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sz w:val="1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path/>
              <v:fill on="f" focussize="0,0"/>
              <v:stroke on="f" joinstyle="miter"/>
              <v:imagedata o:title=""/>
              <o:lock v:ext="edit"/>
              <v:textbox inset="0mm,0mm,0mm,0mm" style="mso-fit-shape-to-text:t;">
                <w:txbxContent>
                  <w:p>
                    <w:pPr>
                      <w:snapToGrid w:val="0"/>
                      <w:rPr>
                        <w:sz w:val="18"/>
                      </w:rPr>
                    </w:pPr>
                    <w:r>
                      <w:rPr>
                        <w:rFonts w:hint="eastAsia"/>
                        <w:sz w:val="1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16"/>
    <w:multiLevelType w:val="singleLevel"/>
    <w:tmpl w:val="01303E16"/>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31B33"/>
    <w:rsid w:val="27A34831"/>
    <w:rsid w:val="5A13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right"/>
    </w:pPr>
    <w:rPr>
      <w:rFonts w:ascii="宋体" w:hAnsi="宋体"/>
      <w:sz w:val="28"/>
      <w:szCs w:val="2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临高县（临城镇）</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2022-09-13T02:02:00Z</dcterms:created>
  <dc:creator>谢红政</dc:creator>
  <cp:lastModifiedBy>谢红政</cp:lastModifiedBy>
  <dcterms:modified xsi:type="dcterms:W3CDTF">2022-09-13T02:02:31Z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