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201</w:t>
      </w:r>
      <w:r>
        <w:rPr>
          <w:rFonts w:hint="eastAsia"/>
          <w:sz w:val="84"/>
          <w:szCs w:val="84"/>
          <w:lang w:val="en-US" w:eastAsia="zh-CN"/>
        </w:rPr>
        <w:t>9</w:t>
      </w:r>
      <w:r>
        <w:rPr>
          <w:rFonts w:hint="eastAsia"/>
          <w:sz w:val="84"/>
          <w:szCs w:val="84"/>
        </w:rPr>
        <w:t>年临高县</w:t>
      </w:r>
      <w:r>
        <w:rPr>
          <w:rFonts w:hint="eastAsia"/>
          <w:sz w:val="84"/>
          <w:szCs w:val="84"/>
          <w:lang w:eastAsia="zh-CN"/>
        </w:rPr>
        <w:t>农业科学研究所</w:t>
      </w:r>
      <w:r>
        <w:rPr>
          <w:rFonts w:hint="eastAsia"/>
          <w:sz w:val="84"/>
          <w:szCs w:val="84"/>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临高县</w:t>
      </w:r>
      <w:r>
        <w:rPr>
          <w:rFonts w:hint="eastAsia" w:ascii="仿宋_GB2312" w:hAnsi="黑体" w:eastAsia="仿宋_GB2312" w:cs="仿宋_GB2312"/>
          <w:sz w:val="32"/>
          <w:szCs w:val="32"/>
          <w:lang w:eastAsia="zh-CN"/>
        </w:rPr>
        <w:t>农业科学研究所</w:t>
      </w:r>
      <w:r>
        <w:rPr>
          <w:rFonts w:hint="eastAsia" w:ascii="黑体" w:hAnsi="黑体" w:eastAsia="黑体"/>
          <w:sz w:val="32"/>
          <w:szCs w:val="32"/>
        </w:rPr>
        <w:t>概况</w:t>
      </w:r>
    </w:p>
    <w:p>
      <w:pPr>
        <w:pStyle w:val="6"/>
        <w:numPr>
          <w:ilvl w:val="0"/>
          <w:numId w:val="2"/>
        </w:numPr>
        <w:ind w:firstLineChars="0"/>
        <w:jc w:val="left"/>
        <w:rPr>
          <w:rFonts w:hint="eastAsia"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黑体" w:hAnsi="黑体" w:eastAsia="黑体"/>
          <w:sz w:val="32"/>
          <w:szCs w:val="32"/>
        </w:rPr>
        <w:t>201</w:t>
      </w:r>
      <w:r>
        <w:rPr>
          <w:rFonts w:hint="eastAsia" w:ascii="黑体" w:hAnsi="黑体" w:eastAsia="黑体"/>
          <w:sz w:val="32"/>
          <w:szCs w:val="32"/>
          <w:lang w:val="en-US" w:eastAsia="zh-CN"/>
        </w:rPr>
        <w:t>9</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部门支出明细表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省级财力安排的专项转移支付预算表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农科所</w:t>
      </w:r>
      <w:r>
        <w:rPr>
          <w:rFonts w:hint="eastAsia" w:ascii="黑体" w:hAnsi="黑体" w:eastAsia="黑体"/>
          <w:sz w:val="32"/>
          <w:szCs w:val="32"/>
        </w:rPr>
        <w:t>（部门）</w:t>
      </w:r>
      <w:r>
        <w:rPr>
          <w:rFonts w:hint="eastAsia" w:ascii="黑体" w:hAnsi="黑体" w:eastAsia="黑体"/>
          <w:sz w:val="32"/>
          <w:szCs w:val="32"/>
          <w:lang w:val="en-US" w:eastAsia="zh-CN"/>
        </w:rPr>
        <w:t>2019</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numPr>
          <w:ilvl w:val="1"/>
          <w:numId w:val="6"/>
        </w:numPr>
        <w:tabs>
          <w:tab w:val="left" w:pos="0"/>
        </w:tabs>
        <w:spacing w:line="540" w:lineRule="auto"/>
        <w:ind w:left="0" w:firstLine="735"/>
        <w:rPr>
          <w:rFonts w:ascii="仿宋_GB2312" w:hAnsi="新宋体" w:eastAsia="仿宋_GB2312"/>
          <w:sz w:val="32"/>
        </w:rPr>
      </w:pPr>
      <w:r>
        <w:rPr>
          <w:rFonts w:hint="eastAsia" w:ascii="仿宋_GB2312" w:hAnsi="新宋体" w:eastAsia="仿宋_GB2312"/>
          <w:sz w:val="32"/>
        </w:rPr>
        <w:t>粮食作物研究：粮食作物良种引进、选育以及高产栽培技术的研究与推广，确保我县粮食生产的稳定；</w:t>
      </w:r>
    </w:p>
    <w:p>
      <w:pPr>
        <w:numPr>
          <w:ilvl w:val="1"/>
          <w:numId w:val="6"/>
        </w:numPr>
        <w:tabs>
          <w:tab w:val="left" w:pos="0"/>
        </w:tabs>
        <w:spacing w:line="540" w:lineRule="auto"/>
        <w:ind w:left="0" w:firstLine="735"/>
        <w:rPr>
          <w:rFonts w:ascii="仿宋_GB2312" w:hAnsi="新宋体" w:eastAsia="仿宋_GB2312"/>
          <w:sz w:val="32"/>
        </w:rPr>
      </w:pPr>
      <w:r>
        <w:rPr>
          <w:rFonts w:hint="eastAsia" w:ascii="仿宋_GB2312" w:hAnsi="新宋体" w:eastAsia="仿宋_GB2312"/>
          <w:sz w:val="32"/>
        </w:rPr>
        <w:t>杂交水稻新组合、常规水稻新品种试验、示范、推广和技术咨询服务，推动我县杂交水稻产业的发展；</w:t>
      </w:r>
    </w:p>
    <w:p>
      <w:pPr>
        <w:numPr>
          <w:ilvl w:val="1"/>
          <w:numId w:val="6"/>
        </w:numPr>
        <w:tabs>
          <w:tab w:val="left" w:pos="0"/>
        </w:tabs>
        <w:spacing w:line="540" w:lineRule="auto"/>
        <w:ind w:left="0" w:firstLine="735"/>
        <w:rPr>
          <w:rFonts w:ascii="仿宋_GB2312" w:hAnsi="新宋体" w:eastAsia="仿宋_GB2312"/>
          <w:sz w:val="32"/>
        </w:rPr>
      </w:pPr>
      <w:r>
        <w:rPr>
          <w:rFonts w:hint="eastAsia" w:ascii="仿宋_GB2312" w:hAnsi="新宋体" w:eastAsia="仿宋_GB2312"/>
          <w:sz w:val="32"/>
        </w:rPr>
        <w:t>植保研究</w:t>
      </w:r>
      <w:r>
        <w:rPr>
          <w:rFonts w:ascii="仿宋_GB2312" w:hAnsi="新宋体" w:eastAsia="仿宋_GB2312"/>
          <w:sz w:val="32"/>
        </w:rPr>
        <w:t>:</w:t>
      </w:r>
      <w:r>
        <w:rPr>
          <w:rFonts w:hint="eastAsia" w:ascii="仿宋_GB2312" w:hAnsi="新宋体" w:eastAsia="仿宋_GB2312"/>
          <w:sz w:val="32"/>
        </w:rPr>
        <w:t>农作物病虫害综合防治技术研究，引进和推广先进病虫害防治技术，促进农作物无公害化生产；</w:t>
      </w:r>
    </w:p>
    <w:p>
      <w:pPr>
        <w:numPr>
          <w:ilvl w:val="1"/>
          <w:numId w:val="6"/>
        </w:numPr>
        <w:tabs>
          <w:tab w:val="left" w:pos="0"/>
        </w:tabs>
        <w:spacing w:line="540" w:lineRule="auto"/>
        <w:ind w:left="0" w:firstLine="735"/>
        <w:rPr>
          <w:rFonts w:ascii="仿宋_GB2312" w:hAnsi="新宋体" w:eastAsia="仿宋_GB2312"/>
          <w:sz w:val="32"/>
        </w:rPr>
      </w:pPr>
      <w:r>
        <w:rPr>
          <w:rFonts w:hint="eastAsia" w:ascii="仿宋_GB2312" w:hAnsi="新宋体" w:eastAsia="仿宋_GB2312"/>
          <w:sz w:val="32"/>
        </w:rPr>
        <w:t>优质种苗培育：负责农作物高产优质、抗逆性强的新品种的引进、培育及配套栽培技术研究和推广。</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纳入临高县201</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年部门预算编制范围的二级预算单位</w:t>
      </w:r>
      <w:r>
        <w:rPr>
          <w:rFonts w:hint="eastAsia" w:ascii="仿宋_GB2312" w:hAnsi="黑体" w:eastAsia="仿宋_GB2312" w:cs="仿宋_GB2312"/>
          <w:sz w:val="32"/>
          <w:szCs w:val="32"/>
          <w:lang w:eastAsia="zh-CN"/>
        </w:rPr>
        <w:t>包括：</w:t>
      </w:r>
      <w:bookmarkStart w:id="4" w:name="_GoBack"/>
      <w:bookmarkEnd w:id="4"/>
    </w:p>
    <w:p>
      <w:pPr>
        <w:spacing w:before="0" w:beforeAutospacing="1" w:after="0" w:afterAutospacing="1"/>
        <w:ind w:left="0" w:firstLine="640" w:firstLineChars="200"/>
        <w:rPr>
          <w:rFonts w:hint="eastAsia" w:ascii="楷体" w:hAnsi="楷体" w:eastAsia="楷体" w:cs="楷体"/>
          <w:sz w:val="32"/>
          <w:szCs w:val="32"/>
          <w:lang w:val="en-US"/>
        </w:rPr>
      </w:pPr>
      <w:bookmarkStart w:id="0" w:name="_Toc25738_WPSOffice_Level2"/>
      <w:bookmarkStart w:id="1" w:name="_Toc24421_WPSOffice_Level2"/>
      <w:r>
        <w:rPr>
          <w:rFonts w:hint="eastAsia" w:ascii="楷体" w:hAnsi="楷体" w:eastAsia="楷体" w:cs="楷体"/>
          <w:sz w:val="32"/>
          <w:szCs w:val="32"/>
          <w:lang w:eastAsia="zh-CN"/>
        </w:rPr>
        <w:t>（一）</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楷体" w:hAnsi="楷体" w:eastAsia="楷体" w:cs="楷体"/>
          <w:sz w:val="32"/>
          <w:szCs w:val="32"/>
          <w:lang w:eastAsia="zh-CN"/>
        </w:rPr>
        <w:t>本级</w:t>
      </w:r>
      <w:bookmarkEnd w:id="0"/>
      <w:bookmarkEnd w:id="1"/>
    </w:p>
    <w:p>
      <w:pPr>
        <w:spacing w:before="0" w:beforeAutospacing="1" w:after="0" w:afterAutospacing="1"/>
        <w:ind w:left="0" w:firstLine="640" w:firstLineChars="200"/>
        <w:rPr>
          <w:rFonts w:hint="eastAsia" w:ascii="楷体" w:hAnsi="楷体" w:eastAsia="楷体" w:cs="楷体"/>
          <w:sz w:val="32"/>
          <w:szCs w:val="32"/>
          <w:lang w:val="en-US"/>
        </w:rPr>
      </w:pPr>
      <w:bookmarkStart w:id="2" w:name="_Toc19721_WPSOffice_Level2"/>
      <w:bookmarkStart w:id="3" w:name="_Toc4442_WPSOffice_Level2"/>
      <w:r>
        <w:rPr>
          <w:rFonts w:hint="eastAsia" w:ascii="楷体" w:hAnsi="楷体" w:eastAsia="楷体" w:cs="楷体"/>
          <w:sz w:val="32"/>
          <w:szCs w:val="32"/>
          <w:lang w:eastAsia="zh-CN"/>
        </w:rPr>
        <w:t>（二）无（下属单位）</w:t>
      </w:r>
      <w:bookmarkEnd w:id="2"/>
      <w:bookmarkEnd w:id="3"/>
    </w:p>
    <w:p>
      <w:pPr>
        <w:spacing w:before="0" w:beforeAutospacing="1" w:after="0" w:afterAutospacing="1"/>
        <w:ind w:left="0" w:firstLine="640" w:firstLineChars="200"/>
        <w:rPr>
          <w:rFonts w:hint="eastAsia" w:ascii="黑体" w:hAnsi="黑体" w:eastAsia="黑体"/>
          <w:sz w:val="32"/>
          <w:szCs w:val="32"/>
        </w:rPr>
      </w:pPr>
      <w:r>
        <w:rPr>
          <w:rFonts w:hint="eastAsia" w:ascii="仿宋_GB2312" w:hAnsi="ˎ̥" w:eastAsia="仿宋_GB2312" w:cs="仿宋_GB2312"/>
          <w:sz w:val="32"/>
          <w:szCs w:val="32"/>
          <w:lang w:eastAsia="zh-CN"/>
        </w:rPr>
        <w:t>……</w:t>
      </w:r>
    </w:p>
    <w:p>
      <w:pPr>
        <w:ind w:left="800"/>
        <w:jc w:val="center"/>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  第三部分   </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sz w:val="32"/>
          <w:szCs w:val="32"/>
        </w:rPr>
        <w:t>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万元，包括</w:t>
      </w:r>
      <w:r>
        <w:rPr>
          <w:rFonts w:hint="eastAsia" w:ascii="仿宋_GB2312" w:hAnsi="黑体" w:eastAsia="仿宋_GB2312"/>
          <w:sz w:val="32"/>
          <w:szCs w:val="32"/>
          <w:lang w:eastAsia="zh-CN"/>
        </w:rPr>
        <w:t>科学技术支出</w:t>
      </w:r>
      <w:r>
        <w:rPr>
          <w:rFonts w:hint="eastAsia" w:ascii="仿宋_GB2312" w:hAnsi="黑体" w:eastAsia="仿宋_GB2312"/>
          <w:sz w:val="32"/>
          <w:szCs w:val="32"/>
          <w:lang w:val="en-US" w:eastAsia="zh-CN"/>
        </w:rPr>
        <w:t>127.01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农林水支出</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2018</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年一般公共预算当年拨</w:t>
      </w:r>
      <w:r>
        <w:rPr>
          <w:rFonts w:hint="eastAsia" w:ascii="仿宋_GB2312" w:hAnsi="黑体" w:eastAsia="仿宋_GB2312"/>
          <w:sz w:val="32"/>
          <w:szCs w:val="32"/>
          <w:lang w:eastAsia="zh-CN"/>
        </w:rPr>
        <w:t>款</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19.91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人员工资、社保增加。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支出（类）支出</w:t>
      </w:r>
      <w:r>
        <w:rPr>
          <w:rFonts w:hint="eastAsia" w:ascii="仿宋_GB2312" w:hAnsi="黑体" w:eastAsia="仿宋_GB2312" w:cs="仿宋_GB2312"/>
          <w:sz w:val="32"/>
          <w:szCs w:val="32"/>
          <w:lang w:val="en-US" w:eastAsia="zh-CN"/>
        </w:rPr>
        <w:t>127.01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94.78</w:t>
      </w:r>
      <w:r>
        <w:rPr>
          <w:rFonts w:hint="eastAsia" w:ascii="仿宋_GB2312" w:hAnsi="黑体" w:eastAsia="仿宋_GB2312"/>
          <w:sz w:val="32"/>
          <w:szCs w:val="32"/>
        </w:rPr>
        <w:t>%；农林水支出（类）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5.22</w:t>
      </w:r>
      <w:r>
        <w:rPr>
          <w:rFonts w:hint="eastAsia" w:ascii="仿宋_GB2312" w:hAnsi="黑体" w:eastAsia="仿宋_GB2312"/>
          <w:sz w:val="32"/>
          <w:szCs w:val="32"/>
        </w:rPr>
        <w:t>%；</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支出（（类） 基础研究（款）机构运行（项）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是职工工资、缴基本社保费上升； 应用研究</w:t>
      </w:r>
      <w:r>
        <w:rPr>
          <w:rFonts w:hint="eastAsia" w:ascii="仿宋_GB2312" w:hAnsi="黑体" w:eastAsia="仿宋_GB2312" w:cs="仿宋_GB2312"/>
          <w:sz w:val="32"/>
          <w:szCs w:val="32"/>
        </w:rPr>
        <w:t>（款） 社会公益研究（项）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w:t>
      </w:r>
      <w:r>
        <w:rPr>
          <w:rFonts w:hint="eastAsia" w:ascii="仿宋_GB2312" w:hAnsi="黑体" w:eastAsia="仿宋_GB2312"/>
          <w:sz w:val="32"/>
          <w:szCs w:val="32"/>
          <w:lang w:eastAsia="zh-CN"/>
        </w:rPr>
        <w:t>为</w:t>
      </w:r>
      <w:r>
        <w:rPr>
          <w:rFonts w:hint="eastAsia" w:ascii="仿宋_GB2312" w:hAnsi="黑体" w:eastAsia="仿宋_GB2312"/>
          <w:sz w:val="32"/>
          <w:szCs w:val="32"/>
          <w:lang w:val="en-US" w:eastAsia="zh-CN"/>
        </w:rPr>
        <w:t>43.01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27.09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 xml:space="preserve">是减少经常性项目日常工作经费； </w:t>
      </w:r>
    </w:p>
    <w:p>
      <w:pPr>
        <w:numPr>
          <w:ilvl w:val="0"/>
          <w:numId w:val="7"/>
        </w:num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农林水支出</w:t>
      </w:r>
      <w:r>
        <w:rPr>
          <w:rFonts w:hint="eastAsia" w:ascii="仿宋_GB2312" w:hAnsi="黑体" w:eastAsia="仿宋_GB2312" w:cs="仿宋_GB2312"/>
          <w:sz w:val="32"/>
          <w:szCs w:val="32"/>
        </w:rPr>
        <w:t>（类）农业（款）一般行政管理事务（项）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w:t>
      </w:r>
      <w:r>
        <w:rPr>
          <w:rFonts w:hint="eastAsia" w:ascii="仿宋_GB2312" w:hAnsi="黑体" w:eastAsia="仿宋_GB2312"/>
          <w:sz w:val="32"/>
          <w:szCs w:val="32"/>
          <w:lang w:eastAsia="zh-CN"/>
        </w:rPr>
        <w:t>较</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；主要是增加扶贫工作经费</w:t>
      </w:r>
      <w:r>
        <w:rPr>
          <w:rFonts w:hint="eastAsia" w:ascii="仿宋_GB2312" w:hAnsi="黑体" w:eastAsia="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80</w:t>
      </w:r>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相同为</w:t>
      </w:r>
      <w:r>
        <w:rPr>
          <w:rFonts w:hint="eastAsia" w:ascii="Times New Roman" w:hAnsi="Times New Roman" w:eastAsia="仿宋_GB2312" w:cs="Times New Roman"/>
          <w:sz w:val="32"/>
          <w:shd w:val="clear" w:color="auto" w:fill="FFFFFF"/>
          <w:lang w:val="en-US" w:eastAsia="zh-CN"/>
        </w:rPr>
        <w:t>0元；</w:t>
      </w:r>
    </w:p>
    <w:p>
      <w:pPr>
        <w:ind w:firstLine="640" w:firstLineChars="20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eastAsia="zh-CN"/>
        </w:rPr>
        <w:t>为</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相同为</w:t>
      </w:r>
      <w:r>
        <w:rPr>
          <w:rFonts w:hint="eastAsia" w:ascii="Times New Roman" w:hAnsi="Times New Roman" w:eastAsia="仿宋_GB2312" w:cs="Times New Roman"/>
          <w:sz w:val="32"/>
          <w:shd w:val="clear" w:color="auto" w:fill="FFFFFF"/>
          <w:lang w:val="en-US" w:eastAsia="zh-CN"/>
        </w:rPr>
        <w:t>0元</w:t>
      </w:r>
      <w:r>
        <w:rPr>
          <w:rFonts w:ascii="Times New Roman" w:hAnsi="Times New Roman" w:eastAsia="仿宋_GB2312" w:cs="Times New Roman"/>
          <w:sz w:val="32"/>
          <w:shd w:val="clear" w:color="auto" w:fill="FFFFFF"/>
        </w:rPr>
        <w:t>。</w:t>
      </w:r>
    </w:p>
    <w:p>
      <w:pPr>
        <w:ind w:firstLine="640" w:firstLineChars="200"/>
        <w:rPr>
          <w:rFonts w:hint="default" w:ascii="仿宋_GB2312" w:hAnsi="黑体" w:eastAsia="仿宋_GB2312" w:cs="Times New Roman"/>
          <w:sz w:val="32"/>
          <w:szCs w:val="32"/>
          <w:lang w:val="en-US"/>
        </w:rPr>
      </w:pP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相同为</w:t>
      </w:r>
      <w:r>
        <w:rPr>
          <w:rFonts w:hint="eastAsia" w:ascii="Times New Roman" w:hAnsi="Times New Roman" w:eastAsia="仿宋_GB2312" w:cs="Times New Roman"/>
          <w:sz w:val="32"/>
          <w:shd w:val="clear" w:color="auto" w:fill="FFFFFF"/>
          <w:lang w:val="en-US" w:eastAsia="zh-CN"/>
        </w:rPr>
        <w:t>0元。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临高县</w:t>
      </w:r>
      <w:r>
        <w:rPr>
          <w:rFonts w:hint="eastAsia" w:ascii="仿宋_GB2312" w:hAnsi="黑体" w:eastAsia="仿宋_GB2312" w:cs="仿宋_GB2312"/>
          <w:sz w:val="32"/>
          <w:szCs w:val="32"/>
          <w:lang w:eastAsia="zh-CN"/>
        </w:rPr>
        <w:t>农业科学研究所</w:t>
      </w:r>
      <w:r>
        <w:rPr>
          <w:rFonts w:hint="eastAsia" w:ascii="仿宋_GB2312" w:hAnsi="黑体" w:eastAsia="仿宋_GB2312" w:cs="仿宋_GB2312"/>
          <w:sz w:val="32"/>
          <w:szCs w:val="32"/>
        </w:rPr>
        <w:t>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相同为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农科所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农科所</w:t>
      </w:r>
      <w:r>
        <w:rPr>
          <w:rFonts w:hint="eastAsia" w:ascii="仿宋_GB2312" w:hAnsi="黑体" w:eastAsia="仿宋_GB2312" w:cs="仿宋_GB2312"/>
          <w:sz w:val="32"/>
          <w:szCs w:val="32"/>
        </w:rPr>
        <w:t>（部门）所有收入和支出均纳入部门预算管理。收入包括：一般公共预算收入、政府性基金收入、其他财政资金收入、事业收入、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sz w:val="32"/>
          <w:szCs w:val="32"/>
          <w:lang w:eastAsia="zh-CN"/>
        </w:rPr>
        <w:t>农科所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农科所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农科所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农科所</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农科所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134.01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62.68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50.01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37.32</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sz w:val="32"/>
          <w:szCs w:val="32"/>
          <w:lang w:eastAsia="zh-CN"/>
        </w:rPr>
        <w:t>农科所</w:t>
      </w:r>
      <w:r>
        <w:rPr>
          <w:rFonts w:hint="eastAsia" w:ascii="仿宋_GB2312" w:hAnsi="黑体" w:eastAsia="仿宋_GB2312" w:cs="仿宋_GB2312"/>
          <w:sz w:val="32"/>
          <w:szCs w:val="32"/>
        </w:rPr>
        <w:t>（部门）本级、</w:t>
      </w:r>
      <w:r>
        <w:rPr>
          <w:rFonts w:ascii="仿宋_GB2312" w:hAnsi="黑体" w:eastAsia="仿宋_GB2312" w:cs="仿宋_GB2312"/>
          <w:sz w:val="32"/>
          <w:szCs w:val="32"/>
        </w:rPr>
        <w:t>……</w:t>
      </w:r>
      <w:r>
        <w:rPr>
          <w:rFonts w:hint="eastAsia" w:ascii="仿宋_GB2312" w:hAnsi="黑体" w:eastAsia="仿宋_GB2312" w:cs="仿宋_GB2312"/>
          <w:sz w:val="32"/>
          <w:szCs w:val="32"/>
        </w:rPr>
        <w:t>（罗列下属单位）等的机关运行经费预算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sz w:val="32"/>
          <w:szCs w:val="32"/>
          <w:lang w:eastAsia="zh-CN"/>
        </w:rPr>
        <w:t>农科所</w:t>
      </w:r>
      <w:r>
        <w:rPr>
          <w:rFonts w:hint="eastAsia" w:ascii="仿宋_GB2312" w:hAnsi="黑体" w:eastAsia="仿宋_GB2312" w:cs="仿宋_GB2312"/>
          <w:sz w:val="32"/>
          <w:szCs w:val="32"/>
        </w:rPr>
        <w:t>（部门）本级及下属各预算单位政府采购预算总额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农科所</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2019</w:t>
      </w:r>
      <w:r>
        <w:rPr>
          <w:rFonts w:hint="eastAsia" w:ascii="仿宋_GB2312" w:hAnsi="黑体" w:eastAsia="仿宋_GB2312"/>
          <w:sz w:val="32"/>
          <w:szCs w:val="32"/>
        </w:rPr>
        <w:t>年</w:t>
      </w:r>
      <w:r>
        <w:rPr>
          <w:rFonts w:hint="eastAsia" w:ascii="仿宋_GB2312" w:hAnsi="黑体" w:eastAsia="仿宋_GB2312"/>
          <w:sz w:val="32"/>
          <w:szCs w:val="32"/>
          <w:lang w:eastAsia="zh-CN"/>
        </w:rPr>
        <w:t>农科所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w:t>
      </w:r>
      <w:r>
        <w:rPr>
          <w:rFonts w:hint="default" w:ascii="仿宋_GB2312" w:eastAsia="仿宋_GB2312" w:cs="仿宋_GB2312"/>
          <w:kern w:val="0"/>
          <w:sz w:val="32"/>
          <w:szCs w:val="32"/>
        </w:rPr>
        <w:t>“日本产地瓜试验技术推广费”</w:t>
      </w:r>
      <w:r>
        <w:rPr>
          <w:rFonts w:hint="eastAsia" w:ascii="仿宋_GB2312" w:hAnsi="黑体" w:eastAsia="仿宋_GB2312" w:cs="仿宋_GB2312"/>
          <w:sz w:val="32"/>
          <w:szCs w:val="32"/>
        </w:rPr>
        <w:t>实行绩效目标管理，涉及一般公共预算</w:t>
      </w:r>
      <w:r>
        <w:rPr>
          <w:rFonts w:hint="eastAsia" w:ascii="仿宋_GB2312" w:hAnsi="黑体" w:eastAsia="仿宋_GB2312" w:cs="仿宋_GB2312"/>
          <w:sz w:val="32"/>
          <w:szCs w:val="32"/>
          <w:lang w:val="en-US" w:eastAsia="zh-CN"/>
        </w:rPr>
        <w:t>21.36</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both"/>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E914C"/>
    <w:multiLevelType w:val="singleLevel"/>
    <w:tmpl w:val="F29E914C"/>
    <w:lvl w:ilvl="0" w:tentative="0">
      <w:start w:val="2"/>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D146B40"/>
    <w:multiLevelType w:val="multilevel"/>
    <w:tmpl w:val="6D146B40"/>
    <w:lvl w:ilvl="0" w:tentative="0">
      <w:start w:val="3"/>
      <w:numFmt w:val="japaneseCounting"/>
      <w:lvlText w:val="%1、"/>
      <w:lvlJc w:val="left"/>
      <w:pPr>
        <w:tabs>
          <w:tab w:val="left" w:pos="720"/>
        </w:tabs>
        <w:ind w:left="720" w:hanging="720"/>
      </w:pPr>
      <w:rPr>
        <w:rFonts w:hint="eastAsia" w:cs="Times New Roman"/>
      </w:rPr>
    </w:lvl>
    <w:lvl w:ilvl="1" w:tentative="0">
      <w:start w:val="1"/>
      <w:numFmt w:val="decimal"/>
      <w:lvlText w:val="%2、"/>
      <w:lvlJc w:val="left"/>
      <w:pPr>
        <w:tabs>
          <w:tab w:val="left" w:pos="1800"/>
        </w:tabs>
        <w:ind w:left="1800" w:hanging="720"/>
      </w:pPr>
      <w:rPr>
        <w:rFonts w:hint="eastAsia"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44"/>
    <w:rsid w:val="00003088"/>
    <w:rsid w:val="001326C1"/>
    <w:rsid w:val="0016549A"/>
    <w:rsid w:val="00173B57"/>
    <w:rsid w:val="00194D6A"/>
    <w:rsid w:val="001A7472"/>
    <w:rsid w:val="002530AD"/>
    <w:rsid w:val="00283E6E"/>
    <w:rsid w:val="00293316"/>
    <w:rsid w:val="002956BC"/>
    <w:rsid w:val="002A59FA"/>
    <w:rsid w:val="002E73B0"/>
    <w:rsid w:val="00343757"/>
    <w:rsid w:val="003847B6"/>
    <w:rsid w:val="004313AB"/>
    <w:rsid w:val="004522A5"/>
    <w:rsid w:val="00474F12"/>
    <w:rsid w:val="004A1C49"/>
    <w:rsid w:val="00525863"/>
    <w:rsid w:val="00537B3F"/>
    <w:rsid w:val="0059423F"/>
    <w:rsid w:val="005C2065"/>
    <w:rsid w:val="00640059"/>
    <w:rsid w:val="006871F7"/>
    <w:rsid w:val="006B1FB3"/>
    <w:rsid w:val="00727F1F"/>
    <w:rsid w:val="0075151D"/>
    <w:rsid w:val="007523E7"/>
    <w:rsid w:val="00786240"/>
    <w:rsid w:val="00793A7F"/>
    <w:rsid w:val="007B3322"/>
    <w:rsid w:val="007E4EAF"/>
    <w:rsid w:val="0086144D"/>
    <w:rsid w:val="00882D38"/>
    <w:rsid w:val="009262C2"/>
    <w:rsid w:val="00926751"/>
    <w:rsid w:val="00947538"/>
    <w:rsid w:val="009616E6"/>
    <w:rsid w:val="009846A5"/>
    <w:rsid w:val="00992272"/>
    <w:rsid w:val="00995DA5"/>
    <w:rsid w:val="009F52FB"/>
    <w:rsid w:val="00A545A0"/>
    <w:rsid w:val="00C91D51"/>
    <w:rsid w:val="00CA517F"/>
    <w:rsid w:val="00CA7DBE"/>
    <w:rsid w:val="00CD7757"/>
    <w:rsid w:val="00DC65EF"/>
    <w:rsid w:val="00DD3FD8"/>
    <w:rsid w:val="00E3389C"/>
    <w:rsid w:val="00E73A4A"/>
    <w:rsid w:val="00ED50D0"/>
    <w:rsid w:val="00ED6580"/>
    <w:rsid w:val="00F91B44"/>
    <w:rsid w:val="00FB0A31"/>
    <w:rsid w:val="00FF3698"/>
    <w:rsid w:val="020F6C87"/>
    <w:rsid w:val="02B35235"/>
    <w:rsid w:val="02F02845"/>
    <w:rsid w:val="037B1073"/>
    <w:rsid w:val="03FE1549"/>
    <w:rsid w:val="043F3F82"/>
    <w:rsid w:val="04E96C27"/>
    <w:rsid w:val="05DA3C0C"/>
    <w:rsid w:val="086129A1"/>
    <w:rsid w:val="08946796"/>
    <w:rsid w:val="09452994"/>
    <w:rsid w:val="0A0C48CE"/>
    <w:rsid w:val="0A3E7498"/>
    <w:rsid w:val="0A844ECA"/>
    <w:rsid w:val="0B17025C"/>
    <w:rsid w:val="0B6E0236"/>
    <w:rsid w:val="0D416FF6"/>
    <w:rsid w:val="0D4C4E19"/>
    <w:rsid w:val="0E600C80"/>
    <w:rsid w:val="0EC8029B"/>
    <w:rsid w:val="0F6F2869"/>
    <w:rsid w:val="10955B9C"/>
    <w:rsid w:val="10B53824"/>
    <w:rsid w:val="16E823B9"/>
    <w:rsid w:val="188506F3"/>
    <w:rsid w:val="18E43A5A"/>
    <w:rsid w:val="1A2F29C2"/>
    <w:rsid w:val="1ACD67F3"/>
    <w:rsid w:val="1B6F38A7"/>
    <w:rsid w:val="1C077AFA"/>
    <w:rsid w:val="1C5F2D2E"/>
    <w:rsid w:val="1E1A7252"/>
    <w:rsid w:val="1E2B254E"/>
    <w:rsid w:val="206171F9"/>
    <w:rsid w:val="217351A4"/>
    <w:rsid w:val="22FE79EB"/>
    <w:rsid w:val="2301095F"/>
    <w:rsid w:val="24186335"/>
    <w:rsid w:val="243F7A79"/>
    <w:rsid w:val="256C1445"/>
    <w:rsid w:val="26127BF8"/>
    <w:rsid w:val="27A36C35"/>
    <w:rsid w:val="2B7A0AAE"/>
    <w:rsid w:val="2BA706BC"/>
    <w:rsid w:val="2C3437EF"/>
    <w:rsid w:val="2D5166B9"/>
    <w:rsid w:val="2EB30529"/>
    <w:rsid w:val="2FD64EC4"/>
    <w:rsid w:val="30BF5015"/>
    <w:rsid w:val="312B2852"/>
    <w:rsid w:val="325506D5"/>
    <w:rsid w:val="32D167E1"/>
    <w:rsid w:val="34883D6B"/>
    <w:rsid w:val="348C4636"/>
    <w:rsid w:val="35950D08"/>
    <w:rsid w:val="39F572DB"/>
    <w:rsid w:val="3A491407"/>
    <w:rsid w:val="3AF82085"/>
    <w:rsid w:val="3BE056D0"/>
    <w:rsid w:val="3CA94681"/>
    <w:rsid w:val="3CB14984"/>
    <w:rsid w:val="3CB758EF"/>
    <w:rsid w:val="3F121DFB"/>
    <w:rsid w:val="3FC468BD"/>
    <w:rsid w:val="400700BF"/>
    <w:rsid w:val="4064678C"/>
    <w:rsid w:val="413D7579"/>
    <w:rsid w:val="41EF351B"/>
    <w:rsid w:val="428F4DF9"/>
    <w:rsid w:val="434326A3"/>
    <w:rsid w:val="43480BB6"/>
    <w:rsid w:val="44682C55"/>
    <w:rsid w:val="45A11070"/>
    <w:rsid w:val="45A31701"/>
    <w:rsid w:val="46522318"/>
    <w:rsid w:val="49E741C6"/>
    <w:rsid w:val="4A096763"/>
    <w:rsid w:val="4A177E54"/>
    <w:rsid w:val="4AA81543"/>
    <w:rsid w:val="4C1B2A46"/>
    <w:rsid w:val="4C917A5E"/>
    <w:rsid w:val="4D6D2B73"/>
    <w:rsid w:val="4EC43BFC"/>
    <w:rsid w:val="4F071FA8"/>
    <w:rsid w:val="4F893787"/>
    <w:rsid w:val="50644C25"/>
    <w:rsid w:val="512974B9"/>
    <w:rsid w:val="518D34DF"/>
    <w:rsid w:val="53636165"/>
    <w:rsid w:val="536D184D"/>
    <w:rsid w:val="538039A2"/>
    <w:rsid w:val="53880673"/>
    <w:rsid w:val="562756A0"/>
    <w:rsid w:val="573041A2"/>
    <w:rsid w:val="576A44BE"/>
    <w:rsid w:val="578917E9"/>
    <w:rsid w:val="58C84A05"/>
    <w:rsid w:val="590D4798"/>
    <w:rsid w:val="5A295BB9"/>
    <w:rsid w:val="5AAF6152"/>
    <w:rsid w:val="5C214EC2"/>
    <w:rsid w:val="5CAB5BD2"/>
    <w:rsid w:val="5CAB5E83"/>
    <w:rsid w:val="5DF70793"/>
    <w:rsid w:val="5E4131C9"/>
    <w:rsid w:val="5E981F5D"/>
    <w:rsid w:val="5EE7151B"/>
    <w:rsid w:val="6162232C"/>
    <w:rsid w:val="624E5F30"/>
    <w:rsid w:val="6406504C"/>
    <w:rsid w:val="64603451"/>
    <w:rsid w:val="658B02E7"/>
    <w:rsid w:val="67970E34"/>
    <w:rsid w:val="68C10A01"/>
    <w:rsid w:val="6A6025D5"/>
    <w:rsid w:val="6D247396"/>
    <w:rsid w:val="6DE2066E"/>
    <w:rsid w:val="71E76735"/>
    <w:rsid w:val="75B81AEA"/>
    <w:rsid w:val="75F15103"/>
    <w:rsid w:val="7A2F12C0"/>
    <w:rsid w:val="7A6A4F2A"/>
    <w:rsid w:val="7C1310FB"/>
    <w:rsid w:val="7C1A4270"/>
    <w:rsid w:val="7F8744F8"/>
    <w:rsid w:val="7FEE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585</Words>
  <Characters>3341</Characters>
  <Lines>27</Lines>
  <Paragraphs>7</Paragraphs>
  <TotalTime>1</TotalTime>
  <ScaleCrop>false</ScaleCrop>
  <LinksUpToDate>false</LinksUpToDate>
  <CharactersWithSpaces>3919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2021-05-25T15:39:09Z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