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5" w:lineRule="atLeast"/>
        <w:ind w:left="0" w:right="0"/>
        <w:jc w:val="center"/>
      </w:pPr>
      <w:r>
        <w:rPr>
          <w:rFonts w:ascii="黑体" w:hAnsi="宋体" w:eastAsia="黑体" w:cs="黑体"/>
          <w:sz w:val="48"/>
          <w:szCs w:val="48"/>
          <w:shd w:val="clear" w:fill="FFFFFF"/>
        </w:rPr>
        <w:t>海南省临高县皇桐中心幼儿园部门</w:t>
      </w:r>
      <w:r>
        <w:rPr>
          <w:rFonts w:hint="eastAsia" w:ascii="黑体" w:hAnsi="宋体" w:eastAsia="黑体" w:cs="黑体"/>
          <w:sz w:val="48"/>
          <w:szCs w:val="48"/>
          <w:shd w:val="clear" w:fill="FFFFFF"/>
        </w:rPr>
        <w:t>2019年度部门决算</w:t>
      </w:r>
    </w:p>
    <w:p>
      <w:pPr>
        <w:pStyle w:val="2"/>
        <w:keepNext w:val="0"/>
        <w:keepLines w:val="0"/>
        <w:widowControl/>
        <w:suppressLineNumbers w:val="0"/>
        <w:spacing w:before="0" w:beforeAutospacing="0" w:after="0" w:afterAutospacing="0" w:line="15" w:lineRule="atLeast"/>
        <w:ind w:left="0" w:right="0"/>
        <w:jc w:val="center"/>
      </w:pPr>
    </w:p>
    <w:p>
      <w:pPr>
        <w:pStyle w:val="2"/>
        <w:keepNext w:val="0"/>
        <w:keepLines w:val="0"/>
        <w:widowControl/>
        <w:suppressLineNumbers w:val="0"/>
        <w:spacing w:before="0" w:beforeAutospacing="0" w:after="0" w:afterAutospacing="0" w:line="15" w:lineRule="atLeast"/>
        <w:ind w:left="0" w:right="0"/>
        <w:jc w:val="center"/>
      </w:pPr>
    </w:p>
    <w:p>
      <w:pPr>
        <w:pStyle w:val="2"/>
        <w:keepNext w:val="0"/>
        <w:keepLines w:val="0"/>
        <w:widowControl/>
        <w:suppressLineNumbers w:val="0"/>
        <w:spacing w:before="0" w:beforeAutospacing="0" w:after="0" w:afterAutospacing="0" w:line="240" w:lineRule="auto"/>
        <w:ind w:left="0" w:right="0"/>
        <w:jc w:val="center"/>
      </w:pPr>
      <w:r>
        <w:rPr>
          <w:rFonts w:hint="eastAsia" w:ascii="黑体" w:hAnsi="宋体" w:eastAsia="黑体" w:cs="黑体"/>
          <w:sz w:val="48"/>
          <w:szCs w:val="48"/>
          <w:shd w:val="clear" w:fill="FFFFFF"/>
        </w:rPr>
        <w:t>目 录</w:t>
      </w:r>
    </w:p>
    <w:p>
      <w:pPr>
        <w:pStyle w:val="2"/>
        <w:keepNext w:val="0"/>
        <w:keepLines w:val="0"/>
        <w:widowControl/>
        <w:suppressLineNumbers w:val="0"/>
        <w:spacing w:before="0" w:beforeAutospacing="0" w:after="0" w:afterAutospacing="0" w:line="240" w:lineRule="auto"/>
        <w:ind w:left="0" w:right="0"/>
        <w:jc w:val="center"/>
      </w:pP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"__RefHeading___Toc1704_WPSOffice_Level1" </w:instrText>
      </w:r>
      <w:r>
        <w:rPr>
          <w:rFonts w:hint="eastAsia" w:ascii="宋体" w:hAnsi="宋体" w:eastAsia="宋体" w:cs="宋体"/>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第一部分 临高县皇桐中心幼儿园概况</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"__RefHeading___Toc1704_WPSOffice_Level1" </w:instrText>
      </w:r>
      <w:r>
        <w:rPr>
          <w:color w:val="434343"/>
          <w:sz w:val="18"/>
          <w:szCs w:val="18"/>
          <w:u w:val="none"/>
          <w:shd w:val="clear" w:fill="FFFFFF"/>
        </w:rPr>
        <w:fldChar w:fldCharType="separate"/>
      </w:r>
      <w:r>
        <w:rPr>
          <w:rStyle w:val="8"/>
          <w:b w:val="0"/>
          <w:bCs w:val="0"/>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"__RefHeading___Toc20274_WPSOffice_Level2" </w:instrText>
      </w:r>
      <w:r>
        <w:rPr>
          <w:rFonts w:hint="eastAsia" w:ascii="宋体" w:hAnsi="宋体" w:eastAsia="宋体" w:cs="宋体"/>
          <w:color w:val="434343"/>
          <w:sz w:val="18"/>
          <w:szCs w:val="18"/>
          <w:u w:val="none"/>
          <w:shd w:val="clear" w:fill="FFFFFF"/>
        </w:rPr>
        <w:fldChar w:fldCharType="separate"/>
      </w:r>
      <w:r>
        <w:rPr>
          <w:rStyle w:val="8"/>
          <w:rFonts w:ascii="仿宋" w:hAnsi="仿宋" w:eastAsia="仿宋" w:cs="仿宋"/>
          <w:color w:val="434343"/>
          <w:sz w:val="27"/>
          <w:szCs w:val="27"/>
          <w:u w:val="none"/>
          <w:shd w:val="clear" w:fill="FFFFFF"/>
        </w:rPr>
        <w:t>一、</w:t>
      </w:r>
      <w:r>
        <w:rPr>
          <w:rStyle w:val="8"/>
          <w:rFonts w:hint="eastAsia" w:ascii="仿宋" w:hAnsi="仿宋" w:eastAsia="仿宋" w:cs="仿宋"/>
          <w:color w:val="434343"/>
          <w:sz w:val="27"/>
          <w:szCs w:val="27"/>
          <w:u w:val="none"/>
          <w:shd w:val="clear" w:fill="FFFFFF"/>
        </w:rPr>
        <w:t>部门职责</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"__RefHeading___Toc20274_WPSOffice_Level2"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"__RefHeading___Toc4833_WPSOffice_Level2"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二、机构设置</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"__RefHeading___Toc4833_WPSOffice_Level2"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"__RefHeading___Toc28253_WPSOffice_Level1" </w:instrText>
      </w:r>
      <w:r>
        <w:rPr>
          <w:rFonts w:hint="eastAsia" w:ascii="宋体" w:hAnsi="宋体" w:eastAsia="宋体" w:cs="宋体"/>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第二部分 临高县皇桐中心幼儿园</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"__RefHeading___Toc28253_WPSOffice_Level1" </w:instrText>
      </w:r>
      <w:r>
        <w:rPr>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2019</w:t>
      </w:r>
      <w:r>
        <w:rPr>
          <w:color w:val="434343"/>
          <w:sz w:val="18"/>
          <w:szCs w:val="18"/>
          <w:u w:val="none"/>
          <w:shd w:val="clear" w:fill="FFFFFF"/>
        </w:rPr>
        <w:fldChar w:fldCharType="end"/>
      </w: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"__RefHeading___Toc28253_WPSOffice_Level1" </w:instrText>
      </w:r>
      <w:r>
        <w:rPr>
          <w:rFonts w:hint="eastAsia" w:ascii="宋体" w:hAnsi="宋体" w:eastAsia="宋体" w:cs="宋体"/>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年度部门决算批复表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"__RefHeading___Toc28253_WPSOffice_Level1" </w:instrText>
      </w:r>
      <w:r>
        <w:rPr>
          <w:color w:val="434343"/>
          <w:sz w:val="18"/>
          <w:szCs w:val="18"/>
          <w:u w:val="none"/>
          <w:shd w:val="clear" w:fill="FFFFFF"/>
        </w:rPr>
        <w:fldChar w:fldCharType="separate"/>
      </w:r>
      <w:r>
        <w:rPr>
          <w:rStyle w:val="8"/>
          <w:b w:val="0"/>
          <w:bCs w:val="0"/>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"__RefHeading___Toc11518_WPSOffice_Level2"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一、收入支出决算批复表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"__RefHeading___Toc11518_WPSOffice_Level2"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"__RefHeading___Toc28622_WPSOffice_Level2"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二、收入决算批复表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"__RefHeading___Toc28622_WPSOffice_Level2"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"__RefHeading___Toc5489_WPSOffice_Level2"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三、支出决算批复表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"__RefHeading___Toc5489_WPSOffice_Level2"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"__RefHeading___Toc23493_WPSOffice_Level2"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四、财政拨款收入支出决算批复表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"__RefHeading___Toc23493_WPSOffice_Level2"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"__RefHeading___Toc7879_WPSOffice_Level2"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五、一般公共预算财政拨款收入支出决算批复表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"__RefHeading___Toc7879_WPSOffice_Level2"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"__RefHeading___Toc8373_WPSOffice_Level2"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六、一般公共预算财政拨款基本支出决算批复表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"__RefHeading___Toc8373_WPSOffice_Level2"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"__RefHeading___Toc1820_WPSOffice_Level2"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七、政府性基金预算财政拨款收入支出决算批复表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"__RefHeading___Toc1820_WPSOffice_Level2"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"__RefHeading___Toc21310_WPSOffice_Level2"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八、一般公共预算财政拨款“三公”经费支出决算批复表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"__RefHeading___Toc21310_WPSOffice_Level2"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3</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"__RefHeading___Toc21310_WPSOffice_Level2"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九、政府性基金预算财政拨款“三公”经费支出决算批复表</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"__RefHeading___Toc21310_WPSOffice_Level2"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w:t>
      </w:r>
      <w:r>
        <w:rPr>
          <w:color w:val="434343"/>
          <w:sz w:val="18"/>
          <w:szCs w:val="18"/>
          <w:u w:val="none"/>
          <w:shd w:val="clear" w:fill="FFFFFF"/>
        </w:rPr>
        <w:fldChar w:fldCharType="end"/>
      </w:r>
      <w:r>
        <w:rPr>
          <w:rFonts w:hint="eastAsia" w:ascii="仿宋" w:hAnsi="仿宋" w:eastAsia="仿宋" w:cs="仿宋"/>
          <w:sz w:val="27"/>
          <w:szCs w:val="27"/>
          <w:shd w:val="clear" w:fill="FFFFFF"/>
        </w:rPr>
        <w:t>3</w:t>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"__RefHeading___Toc27590_WPSOffice_Level1" </w:instrText>
      </w:r>
      <w:r>
        <w:rPr>
          <w:rFonts w:hint="eastAsia" w:ascii="宋体" w:hAnsi="宋体" w:eastAsia="宋体" w:cs="宋体"/>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第三部分</w:t>
      </w:r>
      <w:r>
        <w:rPr>
          <w:rStyle w:val="8"/>
          <w:rFonts w:hint="eastAsia" w:ascii="宋体" w:hAnsi="宋体" w:eastAsia="宋体" w:cs="宋体"/>
          <w:b w:val="0"/>
          <w:bCs w:val="0"/>
          <w:color w:val="434343"/>
          <w:sz w:val="27"/>
          <w:szCs w:val="27"/>
          <w:u w:val="none"/>
          <w:shd w:val="clear" w:fill="FFFFFF"/>
        </w:rPr>
        <w:t xml:space="preserve"> </w:t>
      </w:r>
      <w:r>
        <w:rPr>
          <w:rStyle w:val="8"/>
          <w:rFonts w:hint="eastAsia" w:ascii="黑体" w:hAnsi="宋体" w:eastAsia="黑体" w:cs="黑体"/>
          <w:b w:val="0"/>
          <w:bCs w:val="0"/>
          <w:color w:val="434343"/>
          <w:sz w:val="27"/>
          <w:szCs w:val="27"/>
          <w:u w:val="none"/>
          <w:shd w:val="clear" w:fill="FFFFFF"/>
        </w:rPr>
        <w:t>临高县皇桐中心幼儿园</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"__RefHeading___Toc27590_WPSOffice_Level1" </w:instrText>
      </w:r>
      <w:r>
        <w:rPr>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2019</w:t>
      </w:r>
      <w:r>
        <w:rPr>
          <w:color w:val="434343"/>
          <w:sz w:val="18"/>
          <w:szCs w:val="18"/>
          <w:u w:val="none"/>
          <w:shd w:val="clear" w:fill="FFFFFF"/>
        </w:rPr>
        <w:fldChar w:fldCharType="end"/>
      </w: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"__RefHeading___Toc27590_WPSOffice_Level1" </w:instrText>
      </w:r>
      <w:r>
        <w:rPr>
          <w:rFonts w:hint="eastAsia" w:ascii="宋体" w:hAnsi="宋体" w:eastAsia="宋体" w:cs="宋体"/>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年度部门决算情况说明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"__RefHeading___Toc27590_WPSOffice_Level1" </w:instrText>
      </w:r>
      <w:r>
        <w:rPr>
          <w:color w:val="434343"/>
          <w:sz w:val="18"/>
          <w:szCs w:val="18"/>
          <w:u w:val="none"/>
          <w:shd w:val="clear" w:fill="FFFFFF"/>
        </w:rPr>
        <w:fldChar w:fldCharType="separate"/>
      </w:r>
      <w:r>
        <w:rPr>
          <w:rStyle w:val="8"/>
          <w:b w:val="0"/>
          <w:bCs w:val="0"/>
          <w:color w:val="434343"/>
          <w:sz w:val="27"/>
          <w:szCs w:val="27"/>
          <w:u w:val="none"/>
          <w:shd w:val="clear" w:fill="FFFFFF"/>
        </w:rPr>
        <w:t xml:space="preserve"> 4</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"__RefHeading___Toc21737_WPSOffice_Level2"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一、收入支出决算总体情况说明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"__RefHeading___Toc21737_WPSOffice_Level2"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4</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"__RefHeading___Toc19535_WPSOffice_Level2"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二、收入决算情况说明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"__RefHeading___Toc19535_WPSOffice_Level2"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5</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"__RefHeading___Toc19535_WPSOffice_Level2"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三、支出决算情况说明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"__RefHeading___Toc19535_WPSOffice_Level2"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5</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"__RefHeading___Toc19535_WPSOffice_Level2"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四、财政拨款收入支出决算总体情况说明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"__RefHeading___Toc19535_WPSOffice_Level2"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5</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"__RefHeading___Toc19535_WPSOffice_Level2"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五、一般公共预算财政拨款支出决算情况说明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"__RefHeading___Toc19535_WPSOffice_Level2"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6</w:t>
      </w:r>
      <w:r>
        <w:rPr>
          <w:color w:val="434343"/>
          <w:sz w:val="18"/>
          <w:szCs w:val="18"/>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"__RefHeading___Toc19535_WPSOffice_Level2"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六、一般公共预算财政拨款基本支出决算情况说明</w:t>
      </w:r>
      <w:r>
        <w:rPr>
          <w:rFonts w:hint="eastAsia" w:ascii="宋体" w:hAnsi="宋体" w:eastAsia="宋体" w:cs="宋体"/>
          <w:color w:val="434343"/>
          <w:sz w:val="18"/>
          <w:szCs w:val="18"/>
          <w:u w:val="none"/>
          <w:shd w:val="clear" w:fill="FFFFFF"/>
        </w:rPr>
        <w:fldChar w:fldCharType="end"/>
      </w:r>
      <w:r>
        <w:rPr>
          <w:rFonts w:hint="eastAsia" w:ascii="仿宋" w:hAnsi="仿宋" w:eastAsia="仿宋" w:cs="仿宋"/>
          <w:sz w:val="27"/>
          <w:szCs w:val="27"/>
          <w:shd w:val="clear" w:fill="FFFFFF"/>
        </w:rPr>
        <w:t xml:space="preserve"> 7</w:t>
      </w:r>
    </w:p>
    <w:p>
      <w:pPr>
        <w:pStyle w:val="2"/>
        <w:keepNext w:val="0"/>
        <w:keepLines w:val="0"/>
        <w:widowControl/>
        <w:suppressLineNumbers w:val="0"/>
        <w:spacing w:before="0" w:beforeAutospacing="0" w:after="0" w:afterAutospacing="0" w:line="15" w:lineRule="atLeast"/>
        <w:ind w:left="0" w:right="0"/>
        <w:jc w:val="left"/>
      </w:pPr>
      <w:r>
        <w:rPr>
          <w:rFonts w:hint="eastAsia" w:ascii="仿宋" w:hAnsi="仿宋" w:eastAsia="仿宋" w:cs="仿宋"/>
          <w:sz w:val="27"/>
          <w:szCs w:val="27"/>
          <w:shd w:val="clear" w:fill="FFFFFF"/>
        </w:rPr>
        <w:t>七、</w:t>
      </w:r>
      <w:r>
        <w:rPr>
          <w:rFonts w:hint="eastAsia" w:ascii="仿宋" w:hAnsi="仿宋" w:eastAsia="仿宋" w:cs="仿宋"/>
          <w:b w:val="0"/>
          <w:bCs w:val="0"/>
          <w:sz w:val="27"/>
          <w:szCs w:val="27"/>
          <w:shd w:val="clear" w:fill="FFFFFF"/>
        </w:rPr>
        <w:t>政府性基金预算财政拨款收入支出决算情况说明</w:t>
      </w:r>
      <w:r>
        <w:rPr>
          <w:rFonts w:hint="eastAsia" w:ascii="仿宋" w:hAnsi="仿宋" w:eastAsia="仿宋" w:cs="仿宋"/>
          <w:sz w:val="27"/>
          <w:szCs w:val="27"/>
          <w:shd w:val="clear" w:fill="FFFFFF"/>
        </w:rPr>
        <w:t xml:space="preserve"> 8</w:t>
      </w:r>
    </w:p>
    <w:p>
      <w:pPr>
        <w:pStyle w:val="2"/>
        <w:keepNext w:val="0"/>
        <w:keepLines w:val="0"/>
        <w:widowControl/>
        <w:suppressLineNumbers w:val="0"/>
        <w:spacing w:before="0" w:beforeAutospacing="0" w:after="0" w:afterAutospacing="0" w:line="15" w:lineRule="atLeast"/>
        <w:ind w:left="0" w:right="0"/>
      </w:pPr>
      <w:r>
        <w:rPr>
          <w:rFonts w:hint="eastAsia" w:ascii="宋体" w:hAnsi="宋体" w:eastAsia="宋体" w:cs="宋体"/>
          <w:color w:val="434343"/>
          <w:sz w:val="21"/>
          <w:szCs w:val="21"/>
          <w:u w:val="none"/>
          <w:shd w:val="clear" w:fill="FFFFFF"/>
        </w:rPr>
        <w:fldChar w:fldCharType="begin"/>
      </w:r>
      <w:r>
        <w:rPr>
          <w:rFonts w:hint="eastAsia" w:ascii="宋体" w:hAnsi="宋体" w:eastAsia="宋体" w:cs="宋体"/>
          <w:color w:val="434343"/>
          <w:sz w:val="21"/>
          <w:szCs w:val="21"/>
          <w:u w:val="none"/>
          <w:shd w:val="clear" w:fill="FFFFFF"/>
        </w:rPr>
        <w:instrText xml:space="preserve"> HYPERLINK "http://lingao.hainan.gov.cn/zwgk_32990/czgk/202010/t20201023_2870242.html" \l "__RefHeading___Toc5978_WPSOffice_Level2" </w:instrText>
      </w:r>
      <w:r>
        <w:rPr>
          <w:rFonts w:hint="eastAsia" w:ascii="宋体" w:hAnsi="宋体" w:eastAsia="宋体" w:cs="宋体"/>
          <w:color w:val="434343"/>
          <w:sz w:val="21"/>
          <w:szCs w:val="21"/>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八、一般公共预算财政拨款“三公”经费支出决算情况说明</w:t>
      </w:r>
      <w:r>
        <w:rPr>
          <w:rFonts w:hint="eastAsia" w:ascii="宋体" w:hAnsi="宋体" w:eastAsia="宋体" w:cs="宋体"/>
          <w:color w:val="434343"/>
          <w:sz w:val="21"/>
          <w:szCs w:val="21"/>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"__RefHeading___Toc5978_WPSOffice_Level2" </w:instrText>
      </w:r>
      <w:r>
        <w:rPr>
          <w:color w:val="434343"/>
          <w:sz w:val="18"/>
          <w:szCs w:val="18"/>
          <w:u w:val="none"/>
          <w:shd w:val="clear" w:fill="FFFFFF"/>
        </w:rPr>
        <w:fldChar w:fldCharType="separate"/>
      </w:r>
      <w:r>
        <w:rPr>
          <w:color w:val="434343"/>
          <w:sz w:val="18"/>
          <w:szCs w:val="18"/>
          <w:u w:val="none"/>
          <w:shd w:val="clear" w:fill="FFFFFF"/>
        </w:rPr>
        <w:fldChar w:fldCharType="end"/>
      </w:r>
      <w:r>
        <w:rPr>
          <w:rFonts w:hint="eastAsia" w:ascii="仿宋" w:hAnsi="仿宋" w:eastAsia="仿宋" w:cs="仿宋"/>
          <w:sz w:val="27"/>
          <w:szCs w:val="27"/>
          <w:shd w:val="clear" w:fill="FFFFFF"/>
        </w:rPr>
        <w:t>8</w:t>
      </w:r>
    </w:p>
    <w:p>
      <w:pPr>
        <w:pStyle w:val="2"/>
        <w:keepNext w:val="0"/>
        <w:keepLines w:val="0"/>
        <w:widowControl/>
        <w:suppressLineNumbers w:val="0"/>
        <w:spacing w:before="0" w:beforeAutospacing="0" w:after="0" w:afterAutospacing="0" w:line="15" w:lineRule="atLeast"/>
        <w:ind w:left="0" w:right="0"/>
      </w:pPr>
      <w:r>
        <w:rPr>
          <w:rFonts w:hint="eastAsia" w:ascii="宋体" w:hAnsi="宋体" w:eastAsia="宋体" w:cs="宋体"/>
          <w:color w:val="434343"/>
          <w:sz w:val="21"/>
          <w:szCs w:val="21"/>
          <w:u w:val="none"/>
          <w:shd w:val="clear" w:fill="FFFFFF"/>
        </w:rPr>
        <w:fldChar w:fldCharType="begin"/>
      </w:r>
      <w:r>
        <w:rPr>
          <w:rFonts w:hint="eastAsia" w:ascii="宋体" w:hAnsi="宋体" w:eastAsia="宋体" w:cs="宋体"/>
          <w:color w:val="434343"/>
          <w:sz w:val="21"/>
          <w:szCs w:val="21"/>
          <w:u w:val="none"/>
          <w:shd w:val="clear" w:fill="FFFFFF"/>
        </w:rPr>
        <w:instrText xml:space="preserve"> HYPERLINK "http://lingao.hainan.gov.cn/zwgk_32990/czgk/202010/t20201023_2870242.html" \l "__RefHeading___Toc5978_WPSOffice_Level2" </w:instrText>
      </w:r>
      <w:r>
        <w:rPr>
          <w:rFonts w:hint="eastAsia" w:ascii="宋体" w:hAnsi="宋体" w:eastAsia="宋体" w:cs="宋体"/>
          <w:color w:val="434343"/>
          <w:sz w:val="21"/>
          <w:szCs w:val="21"/>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九、政府性基金预算财政拨款“三公”经费支出决算情况说明</w:t>
      </w:r>
      <w:r>
        <w:rPr>
          <w:rFonts w:hint="eastAsia" w:ascii="宋体" w:hAnsi="宋体" w:eastAsia="宋体" w:cs="宋体"/>
          <w:color w:val="434343"/>
          <w:sz w:val="21"/>
          <w:szCs w:val="21"/>
          <w:u w:val="none"/>
          <w:shd w:val="clear" w:fill="FFFFFF"/>
        </w:rPr>
        <w:fldChar w:fldCharType="end"/>
      </w:r>
    </w:p>
    <w:p>
      <w:pPr>
        <w:pStyle w:val="2"/>
        <w:keepNext w:val="0"/>
        <w:keepLines w:val="0"/>
        <w:widowControl/>
        <w:suppressLineNumbers w:val="0"/>
        <w:spacing w:before="0" w:beforeAutospacing="0" w:after="0" w:afterAutospacing="0" w:line="15" w:lineRule="atLeast"/>
        <w:ind w:left="0" w:right="0"/>
        <w:jc w:val="left"/>
      </w:pP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"__RefHeading___Toc5978_WPSOffice_Level2" </w:instrText>
      </w:r>
      <w:r>
        <w:rPr>
          <w:color w:val="434343"/>
          <w:sz w:val="18"/>
          <w:szCs w:val="18"/>
          <w:u w:val="none"/>
          <w:shd w:val="clear" w:fill="FFFFFF"/>
        </w:rPr>
        <w:fldChar w:fldCharType="separate"/>
      </w:r>
      <w:r>
        <w:rPr>
          <w:color w:val="434343"/>
          <w:sz w:val="18"/>
          <w:szCs w:val="18"/>
          <w:u w:val="none"/>
          <w:shd w:val="clear" w:fill="FFFFFF"/>
        </w:rPr>
        <w:fldChar w:fldCharType="end"/>
      </w:r>
      <w:r>
        <w:rPr>
          <w:rFonts w:hint="eastAsia" w:ascii="仿宋" w:hAnsi="仿宋" w:eastAsia="仿宋" w:cs="仿宋"/>
          <w:sz w:val="27"/>
          <w:szCs w:val="27"/>
          <w:shd w:val="clear" w:fill="FFFFFF"/>
        </w:rPr>
        <w:t>10</w:t>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"__RefHeading___Toc19535_WPSOffice_Level2" </w:instrText>
      </w:r>
      <w:r>
        <w:rPr>
          <w:rFonts w:hint="eastAsia" w:ascii="宋体" w:hAnsi="宋体" w:eastAsia="宋体" w:cs="宋体"/>
          <w:color w:val="434343"/>
          <w:sz w:val="18"/>
          <w:szCs w:val="18"/>
          <w:u w:val="none"/>
          <w:shd w:val="clear" w:fill="FFFFFF"/>
        </w:rPr>
        <w:fldChar w:fldCharType="separate"/>
      </w:r>
      <w:r>
        <w:rPr>
          <w:rStyle w:val="8"/>
          <w:rFonts w:hint="eastAsia" w:ascii="仿宋" w:hAnsi="仿宋" w:eastAsia="仿宋" w:cs="仿宋"/>
          <w:b w:val="0"/>
          <w:bCs w:val="0"/>
          <w:color w:val="434343"/>
          <w:sz w:val="27"/>
          <w:szCs w:val="27"/>
          <w:u w:val="none"/>
          <w:shd w:val="clear" w:fill="FFFFFF"/>
        </w:rPr>
        <w:t>十、预算绩效情况说明</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"__RefHeading___Toc19535_WPSOffice_Level2" </w:instrText>
      </w:r>
      <w:r>
        <w:rPr>
          <w:color w:val="434343"/>
          <w:sz w:val="18"/>
          <w:szCs w:val="18"/>
          <w:u w:val="none"/>
          <w:shd w:val="clear" w:fill="FFFFFF"/>
        </w:rPr>
        <w:fldChar w:fldCharType="separate"/>
      </w:r>
      <w:r>
        <w:rPr>
          <w:rStyle w:val="8"/>
          <w:rFonts w:hint="eastAsia" w:ascii="仿宋" w:hAnsi="仿宋" w:eastAsia="仿宋" w:cs="仿宋"/>
          <w:color w:val="434343"/>
          <w:sz w:val="27"/>
          <w:szCs w:val="27"/>
          <w:u w:val="none"/>
          <w:shd w:val="clear" w:fill="FFFFFF"/>
        </w:rPr>
        <w:t xml:space="preserve"> </w:t>
      </w:r>
      <w:r>
        <w:rPr>
          <w:color w:val="434343"/>
          <w:sz w:val="18"/>
          <w:szCs w:val="18"/>
          <w:u w:val="none"/>
          <w:shd w:val="clear" w:fill="FFFFFF"/>
        </w:rPr>
        <w:fldChar w:fldCharType="end"/>
      </w:r>
      <w:r>
        <w:rPr>
          <w:rFonts w:hint="eastAsia" w:ascii="仿宋" w:hAnsi="仿宋" w:eastAsia="仿宋" w:cs="仿宋"/>
          <w:sz w:val="27"/>
          <w:szCs w:val="27"/>
          <w:shd w:val="clear" w:fill="FFFFFF"/>
        </w:rPr>
        <w:t>11</w:t>
      </w:r>
    </w:p>
    <w:p>
      <w:pPr>
        <w:pStyle w:val="2"/>
        <w:keepNext w:val="0"/>
        <w:keepLines w:val="0"/>
        <w:widowControl/>
        <w:suppressLineNumbers w:val="0"/>
        <w:spacing w:before="0" w:beforeAutospacing="0" w:after="0" w:afterAutospacing="0" w:line="15" w:lineRule="atLeast"/>
        <w:ind w:left="0" w:right="0"/>
        <w:jc w:val="left"/>
      </w:pPr>
      <w:r>
        <w:rPr>
          <w:rFonts w:hint="eastAsia" w:ascii="仿宋" w:hAnsi="仿宋" w:eastAsia="仿宋" w:cs="仿宋"/>
          <w:b w:val="0"/>
          <w:bCs w:val="0"/>
          <w:color w:val="000000"/>
          <w:sz w:val="27"/>
          <w:szCs w:val="27"/>
          <w:u w:val="none"/>
          <w:shd w:val="clear" w:fill="FFFFFF"/>
        </w:rPr>
        <w:t>十一、其他重要事项情况说明</w:t>
      </w:r>
      <w:r>
        <w:rPr>
          <w:rFonts w:hint="eastAsia" w:ascii="仿宋" w:hAnsi="仿宋" w:eastAsia="仿宋" w:cs="仿宋"/>
          <w:color w:val="000000"/>
          <w:sz w:val="27"/>
          <w:szCs w:val="27"/>
          <w:u w:val="none"/>
          <w:shd w:val="clear" w:fill="FFFFFF"/>
        </w:rPr>
        <w:t xml:space="preserve"> 11</w:t>
      </w:r>
    </w:p>
    <w:p>
      <w:pPr>
        <w:pStyle w:val="2"/>
        <w:keepNext w:val="0"/>
        <w:keepLines w:val="0"/>
        <w:widowControl/>
        <w:suppressLineNumbers w:val="0"/>
        <w:spacing w:before="0" w:beforeAutospacing="0" w:after="0" w:afterAutospacing="0" w:line="15" w:lineRule="atLeast"/>
        <w:ind w:left="0" w:right="0"/>
        <w:jc w:val="left"/>
      </w:pPr>
      <w:r>
        <w:rPr>
          <w:rFonts w:hint="eastAsia" w:ascii="宋体" w:hAnsi="宋体" w:eastAsia="宋体" w:cs="宋体"/>
          <w:color w:val="434343"/>
          <w:sz w:val="18"/>
          <w:szCs w:val="18"/>
          <w:u w:val="none"/>
          <w:shd w:val="clear" w:fill="FFFFFF"/>
        </w:rPr>
        <w:fldChar w:fldCharType="begin"/>
      </w:r>
      <w:r>
        <w:rPr>
          <w:rFonts w:hint="eastAsia" w:ascii="宋体" w:hAnsi="宋体" w:eastAsia="宋体" w:cs="宋体"/>
          <w:color w:val="434343"/>
          <w:sz w:val="18"/>
          <w:szCs w:val="18"/>
          <w:u w:val="none"/>
          <w:shd w:val="clear" w:fill="FFFFFF"/>
        </w:rPr>
        <w:instrText xml:space="preserve"> HYPERLINK "http://lingao.hainan.gov.cn/zwgk_32990/czgk/202010/t20201023_2870242.html" \l "__RefHeading___Toc15425_WPSOffice_Level1" </w:instrText>
      </w:r>
      <w:r>
        <w:rPr>
          <w:rFonts w:hint="eastAsia" w:ascii="宋体" w:hAnsi="宋体" w:eastAsia="宋体" w:cs="宋体"/>
          <w:color w:val="434343"/>
          <w:sz w:val="18"/>
          <w:szCs w:val="18"/>
          <w:u w:val="none"/>
          <w:shd w:val="clear" w:fill="FFFFFF"/>
        </w:rPr>
        <w:fldChar w:fldCharType="separate"/>
      </w:r>
      <w:r>
        <w:rPr>
          <w:rStyle w:val="8"/>
          <w:rFonts w:hint="eastAsia" w:ascii="黑体" w:hAnsi="宋体" w:eastAsia="黑体" w:cs="黑体"/>
          <w:b w:val="0"/>
          <w:bCs w:val="0"/>
          <w:color w:val="434343"/>
          <w:sz w:val="27"/>
          <w:szCs w:val="27"/>
          <w:u w:val="none"/>
          <w:shd w:val="clear" w:fill="FFFFFF"/>
        </w:rPr>
        <w:t>第四部分 名词解释</w:t>
      </w:r>
      <w:r>
        <w:rPr>
          <w:rFonts w:hint="eastAsia" w:ascii="宋体" w:hAnsi="宋体" w:eastAsia="宋体" w:cs="宋体"/>
          <w:color w:val="434343"/>
          <w:sz w:val="18"/>
          <w:szCs w:val="18"/>
          <w:u w:val="none"/>
          <w:shd w:val="clear" w:fill="FFFFFF"/>
        </w:rPr>
        <w:fldChar w:fldCharType="end"/>
      </w:r>
      <w:r>
        <w:rPr>
          <w:color w:val="434343"/>
          <w:sz w:val="18"/>
          <w:szCs w:val="18"/>
          <w:u w:val="none"/>
          <w:shd w:val="clear" w:fill="FFFFFF"/>
        </w:rPr>
        <w:fldChar w:fldCharType="begin"/>
      </w:r>
      <w:r>
        <w:rPr>
          <w:color w:val="434343"/>
          <w:sz w:val="18"/>
          <w:szCs w:val="18"/>
          <w:u w:val="none"/>
          <w:shd w:val="clear" w:fill="FFFFFF"/>
        </w:rPr>
        <w:instrText xml:space="preserve"> HYPERLINK "http://lingao.hainan.gov.cn/zwgk_32990/czgk/202010/t20201023_2870242.html" \l "__RefHeading___Toc15425_WPSOffice_Level1" </w:instrText>
      </w:r>
      <w:r>
        <w:rPr>
          <w:color w:val="434343"/>
          <w:sz w:val="18"/>
          <w:szCs w:val="18"/>
          <w:u w:val="none"/>
          <w:shd w:val="clear" w:fill="FFFFFF"/>
        </w:rPr>
        <w:fldChar w:fldCharType="separate"/>
      </w:r>
      <w:r>
        <w:rPr>
          <w:rStyle w:val="8"/>
          <w:b w:val="0"/>
          <w:bCs w:val="0"/>
          <w:color w:val="434343"/>
          <w:sz w:val="27"/>
          <w:szCs w:val="27"/>
          <w:u w:val="none"/>
          <w:shd w:val="clear" w:fill="FFFFFF"/>
        </w:rPr>
        <w:t xml:space="preserve"> 1</w:t>
      </w:r>
      <w:r>
        <w:rPr>
          <w:color w:val="434343"/>
          <w:sz w:val="18"/>
          <w:szCs w:val="18"/>
          <w:u w:val="none"/>
          <w:shd w:val="clear" w:fill="FFFFFF"/>
        </w:rPr>
        <w:fldChar w:fldCharType="end"/>
      </w:r>
      <w:r>
        <w:rPr>
          <w:b w:val="0"/>
          <w:bCs w:val="0"/>
          <w:sz w:val="27"/>
          <w:szCs w:val="27"/>
          <w:shd w:val="clear" w:fill="FFFFFF"/>
        </w:rPr>
        <w:t>3</w:t>
      </w:r>
    </w:p>
    <w:p>
      <w:pPr>
        <w:pStyle w:val="2"/>
        <w:keepNext w:val="0"/>
        <w:keepLines w:val="0"/>
        <w:widowControl/>
        <w:suppressLineNumbers w:val="0"/>
        <w:spacing w:before="0" w:beforeAutospacing="0" w:after="0" w:afterAutospacing="0" w:line="15" w:lineRule="atLeast"/>
        <w:ind w:left="0" w:right="0"/>
        <w:jc w:val="left"/>
      </w:pPr>
    </w:p>
    <w:p>
      <w:pPr>
        <w:pStyle w:val="2"/>
        <w:keepNext w:val="0"/>
        <w:keepLines w:val="0"/>
        <w:widowControl/>
        <w:suppressLineNumbers w:val="0"/>
        <w:spacing w:before="0" w:beforeAutospacing="0" w:after="0" w:afterAutospacing="0" w:line="15" w:lineRule="atLeast"/>
        <w:ind w:left="0" w:right="0"/>
        <w:jc w:val="center"/>
      </w:pPr>
    </w:p>
    <w:p>
      <w:pPr>
        <w:pStyle w:val="2"/>
        <w:keepNext w:val="0"/>
        <w:keepLines w:val="0"/>
        <w:widowControl/>
        <w:suppressLineNumbers w:val="0"/>
        <w:spacing w:before="0" w:beforeAutospacing="0" w:after="0" w:afterAutospacing="0" w:line="15" w:lineRule="atLeast"/>
        <w:ind w:left="0" w:right="0"/>
        <w:jc w:val="center"/>
      </w:pPr>
    </w:p>
    <w:p>
      <w:pPr>
        <w:pStyle w:val="2"/>
        <w:keepNext w:val="0"/>
        <w:keepLines w:val="0"/>
        <w:widowControl/>
        <w:suppressLineNumbers w:val="0"/>
        <w:spacing w:before="0" w:beforeAutospacing="0" w:after="0" w:afterAutospacing="0" w:line="15" w:lineRule="atLeast"/>
        <w:ind w:left="0" w:right="0"/>
        <w:jc w:val="center"/>
      </w:pPr>
    </w:p>
    <w:p>
      <w:pPr>
        <w:pStyle w:val="2"/>
        <w:keepNext w:val="0"/>
        <w:keepLines w:val="0"/>
        <w:widowControl/>
        <w:suppressLineNumbers w:val="0"/>
        <w:spacing w:before="0" w:beforeAutospacing="0" w:after="0" w:afterAutospacing="0" w:line="15" w:lineRule="atLeast"/>
        <w:ind w:left="0" w:right="0"/>
        <w:rPr>
          <w:b w:val="0"/>
          <w:bCs w:val="0"/>
        </w:rPr>
      </w:pPr>
      <w:bookmarkStart w:id="0" w:name="__RefHeading___Toc20274_WPSOffice_Level2"/>
      <w:bookmarkEnd w:id="0"/>
    </w:p>
    <w:p>
      <w:pPr>
        <w:pStyle w:val="2"/>
        <w:keepNext w:val="0"/>
        <w:keepLines w:val="0"/>
        <w:widowControl/>
        <w:suppressLineNumbers w:val="0"/>
        <w:spacing w:before="0" w:beforeAutospacing="0" w:after="0" w:afterAutospacing="0" w:line="15" w:lineRule="atLeast"/>
        <w:ind w:left="0" w:right="0"/>
        <w:jc w:val="center"/>
      </w:pPr>
      <w:bookmarkStart w:id="1" w:name="__RefHeading___Toc1704_WPSOffice_Level1"/>
      <w:bookmarkEnd w:id="1"/>
      <w:r>
        <w:rPr>
          <w:rFonts w:hint="eastAsia" w:ascii="黑体" w:hAnsi="宋体" w:eastAsia="黑体" w:cs="黑体"/>
          <w:sz w:val="27"/>
          <w:szCs w:val="27"/>
          <w:shd w:val="clear" w:fill="FFFFFF"/>
        </w:rPr>
        <w:t>第一部分 临高县皇桐中心幼儿园概况</w:t>
      </w:r>
    </w:p>
    <w:p>
      <w:pPr>
        <w:pStyle w:val="2"/>
        <w:keepNext w:val="0"/>
        <w:keepLines w:val="0"/>
        <w:widowControl/>
        <w:suppressLineNumbers w:val="0"/>
        <w:spacing w:before="0" w:beforeAutospacing="0" w:after="0" w:afterAutospacing="0" w:line="15" w:lineRule="atLeast"/>
        <w:ind w:left="0" w:right="0"/>
        <w:rPr>
          <w:b w:val="0"/>
          <w:bCs w:val="0"/>
        </w:rPr>
      </w:pPr>
    </w:p>
    <w:p>
      <w:pPr>
        <w:pStyle w:val="2"/>
        <w:keepNext w:val="0"/>
        <w:keepLines w:val="0"/>
        <w:widowControl/>
        <w:numPr>
          <w:ilvl w:val="0"/>
          <w:numId w:val="1"/>
        </w:numPr>
        <w:suppressLineNumbers w:val="0"/>
        <w:spacing w:before="0" w:beforeAutospacing="0" w:after="0" w:afterAutospacing="0" w:line="15" w:lineRule="atLeast"/>
        <w:ind w:left="0" w:right="0" w:firstLine="634"/>
        <w:rPr>
          <w:rFonts w:ascii="楷体" w:hAnsi="楷体" w:eastAsia="楷体" w:cs="楷体"/>
          <w:sz w:val="27"/>
          <w:szCs w:val="27"/>
          <w:shd w:val="clear" w:fill="FFFFFF"/>
        </w:rPr>
      </w:pPr>
      <w:r>
        <w:rPr>
          <w:rFonts w:ascii="楷体" w:hAnsi="楷体" w:eastAsia="楷体" w:cs="楷体"/>
          <w:sz w:val="27"/>
          <w:szCs w:val="27"/>
          <w:shd w:val="clear" w:fill="FFFFFF"/>
        </w:rPr>
        <w:t>部门职责。</w:t>
      </w:r>
    </w:p>
    <w:p>
      <w:pPr>
        <w:pStyle w:val="43"/>
        <w:ind w:left="640" w:leftChars="305" w:firstLine="540" w:firstLineChars="200"/>
        <w:rPr>
          <w:rStyle w:val="44"/>
          <w:rFonts w:hint="default"/>
        </w:rPr>
      </w:pPr>
      <w:r>
        <w:rPr>
          <w:rFonts w:hint="eastAsia" w:ascii="楷体" w:hAnsi="楷体" w:eastAsia="楷体" w:cs="楷体"/>
          <w:sz w:val="27"/>
          <w:szCs w:val="27"/>
          <w:shd w:val="clear" w:fill="FFFFFF"/>
          <w:lang w:val="en-US" w:eastAsia="zh-CN"/>
        </w:rPr>
        <w:t xml:space="preserve"> </w:t>
      </w:r>
      <w:r>
        <w:rPr>
          <w:rStyle w:val="44"/>
          <w:rFonts w:hint="default"/>
        </w:rPr>
        <w:t>我幼儿园以“用心呼吸现代教育精髓，让孩子拥有一个最佳的人生开端！”为目标。坚持以人为本、依法治园、以德治园，以 “心中有目标、眼中有孩子、处处有教育 ”为园训，尊重幼儿，重视保教结合，优化幼儿一日生活，优化教育环境，注重教育改革， “以科研促教学，以教学促发展 ”，扎实地做好各项工作重视幼儿特点的研究，使幼儿教育日益显示出旺盛的生命力，充分利用农村幼儿园具备的条件，利用幼儿园现有的资源，开展适合农村幼儿发展的学习活动，使幼儿在幼儿园健康、快乐的成长.</w:t>
      </w:r>
    </w:p>
    <w:p>
      <w:pPr>
        <w:pStyle w:val="2"/>
        <w:keepNext w:val="0"/>
        <w:keepLines w:val="0"/>
        <w:widowControl/>
        <w:suppressLineNumbers w:val="0"/>
        <w:spacing w:before="0" w:beforeAutospacing="0" w:after="0" w:afterAutospacing="0" w:line="15" w:lineRule="atLeast"/>
        <w:ind w:right="0" w:firstLine="270" w:firstLineChars="100"/>
      </w:pPr>
      <w:bookmarkStart w:id="2" w:name="__RefHeading___Toc4833_WPSOffice_Level2"/>
      <w:bookmarkEnd w:id="2"/>
      <w:r>
        <w:rPr>
          <w:rFonts w:hint="eastAsia" w:ascii="楷体" w:hAnsi="楷体" w:eastAsia="楷体" w:cs="楷体"/>
          <w:sz w:val="27"/>
          <w:szCs w:val="27"/>
          <w:shd w:val="clear" w:fill="FFFFFF"/>
        </w:rPr>
        <w:t>（二）机构设置。</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纳入临高县皇桐中心幼儿园</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年度决算编制范围的二级预算单位包括：</w:t>
      </w:r>
    </w:p>
    <w:p>
      <w:pPr>
        <w:pStyle w:val="2"/>
        <w:keepNext w:val="0"/>
        <w:keepLines w:val="0"/>
        <w:widowControl/>
        <w:suppressLineNumbers w:val="0"/>
        <w:spacing w:before="0" w:beforeAutospacing="0" w:after="0" w:afterAutospacing="0" w:line="15" w:lineRule="atLeast"/>
        <w:ind w:right="0" w:firstLine="1080" w:firstLineChars="400"/>
        <w:rPr>
          <w:rFonts w:hint="default" w:eastAsia="仿宋"/>
          <w:lang w:val="en-US" w:eastAsia="zh-CN"/>
        </w:rPr>
      </w:pPr>
      <w:r>
        <w:rPr>
          <w:rFonts w:hint="eastAsia" w:ascii="仿宋" w:eastAsia="仿宋" w:cs="仿宋"/>
          <w:sz w:val="27"/>
          <w:szCs w:val="27"/>
          <w:shd w:val="clear" w:fill="FFFFFF"/>
        </w:rPr>
        <w:t>临高县皇桐中心幼儿园本级</w:t>
      </w:r>
      <w:r>
        <w:rPr>
          <w:rFonts w:hint="eastAsia" w:ascii="仿宋" w:eastAsia="仿宋" w:cs="仿宋"/>
          <w:sz w:val="27"/>
          <w:szCs w:val="27"/>
          <w:shd w:val="clear" w:fill="FFFFFF"/>
          <w:lang w:val="en-US" w:eastAsia="zh-CN"/>
        </w:rPr>
        <w:t>12</w:t>
      </w:r>
    </w:p>
    <w:p>
      <w:pPr>
        <w:pStyle w:val="2"/>
        <w:keepNext w:val="0"/>
        <w:keepLines w:val="0"/>
        <w:widowControl/>
        <w:suppressLineNumbers w:val="0"/>
        <w:spacing w:before="0" w:beforeAutospacing="0" w:after="0" w:afterAutospacing="0" w:line="15" w:lineRule="atLeast"/>
        <w:ind w:right="0"/>
        <w:rPr>
          <w:rFonts w:hint="default" w:eastAsia="黑体"/>
          <w:lang w:val="en-US" w:eastAsia="zh-CN"/>
        </w:rPr>
      </w:pPr>
      <w:bookmarkStart w:id="3" w:name="__RefHeading___Toc28253_WPSOffice_Level1"/>
      <w:bookmarkEnd w:id="3"/>
      <w:r>
        <w:rPr>
          <w:rFonts w:hint="eastAsia" w:ascii="黑体" w:hAnsi="宋体" w:eastAsia="黑体" w:cs="黑体"/>
          <w:sz w:val="27"/>
          <w:szCs w:val="27"/>
          <w:shd w:val="clear" w:fill="FFFFFF"/>
        </w:rPr>
        <w:t>临高县皇桐中心幼儿园</w:t>
      </w:r>
      <w:r>
        <w:rPr>
          <w:rFonts w:hint="eastAsia" w:ascii="黑体" w:hAnsi="宋体" w:eastAsia="黑体" w:cs="黑体"/>
          <w:b w:val="0"/>
          <w:bCs w:val="0"/>
          <w:sz w:val="27"/>
          <w:szCs w:val="27"/>
          <w:shd w:val="clear" w:fill="FFFFFF"/>
        </w:rPr>
        <w:t>2019年度决算公开报表</w:t>
      </w:r>
      <w:r>
        <w:rPr>
          <w:rFonts w:hint="eastAsia" w:ascii="黑体" w:hAnsi="宋体" w:eastAsia="黑体" w:cs="黑体"/>
          <w:b w:val="0"/>
          <w:bCs w:val="0"/>
          <w:sz w:val="27"/>
          <w:szCs w:val="27"/>
          <w:shd w:val="clear" w:fill="FFFFFF"/>
          <w:lang w:val="en-US" w:eastAsia="zh-CN"/>
        </w:rPr>
        <w:t>12</w:t>
      </w:r>
    </w:p>
    <w:p>
      <w:pPr>
        <w:keepNext w:val="0"/>
        <w:keepLines w:val="0"/>
        <w:widowControl/>
        <w:numPr>
          <w:ilvl w:val="0"/>
          <w:numId w:val="0"/>
        </w:numPr>
        <w:suppressLineNumbers w:val="0"/>
        <w:spacing w:before="0" w:beforeAutospacing="0" w:after="0" w:afterAutospacing="0" w:line="15" w:lineRule="atLeast"/>
        <w:ind w:left="1080" w:leftChars="0" w:right="0" w:rightChars="0"/>
      </w:pPr>
    </w:p>
    <w:p>
      <w:pPr>
        <w:pStyle w:val="2"/>
        <w:keepNext w:val="0"/>
        <w:keepLines w:val="0"/>
        <w:widowControl/>
        <w:suppressLineNumbers w:val="0"/>
        <w:spacing w:before="0" w:beforeAutospacing="0" w:after="0" w:afterAutospacing="0" w:line="15" w:lineRule="atLeast"/>
        <w:ind w:right="0" w:firstLine="540" w:firstLineChars="200"/>
      </w:pPr>
      <w:bookmarkStart w:id="4" w:name="__RefHeading___Toc11518_WPSOffice_Level2"/>
      <w:bookmarkEnd w:id="4"/>
      <w:r>
        <w:rPr>
          <w:rFonts w:hint="eastAsia" w:ascii="楷体" w:hAnsi="楷体" w:eastAsia="楷体" w:cs="楷体"/>
          <w:sz w:val="27"/>
          <w:szCs w:val="27"/>
          <w:shd w:val="clear" w:fill="FFFFFF"/>
        </w:rPr>
        <w:t>（一）收入支出决算总表（见正文附件）。</w:t>
      </w:r>
    </w:p>
    <w:p>
      <w:pPr>
        <w:pStyle w:val="2"/>
        <w:keepNext w:val="0"/>
        <w:keepLines w:val="0"/>
        <w:widowControl/>
        <w:suppressLineNumbers w:val="0"/>
        <w:spacing w:before="0" w:beforeAutospacing="0" w:after="0" w:afterAutospacing="0" w:line="15" w:lineRule="atLeast"/>
        <w:ind w:left="0" w:right="0" w:firstLine="648"/>
      </w:pPr>
      <w:bookmarkStart w:id="5" w:name="__RefHeading___Toc28622_WPSOffice_Level2"/>
      <w:bookmarkEnd w:id="5"/>
      <w:r>
        <w:rPr>
          <w:rFonts w:hint="eastAsia" w:ascii="楷体" w:hAnsi="楷体" w:eastAsia="楷体" w:cs="楷体"/>
          <w:sz w:val="27"/>
          <w:szCs w:val="27"/>
          <w:shd w:val="clear" w:fill="FFFFFF"/>
        </w:rPr>
        <w:t>（二）收入决算表（见正文附件）。</w:t>
      </w:r>
    </w:p>
    <w:p>
      <w:pPr>
        <w:pStyle w:val="2"/>
        <w:keepNext w:val="0"/>
        <w:keepLines w:val="0"/>
        <w:widowControl/>
        <w:suppressLineNumbers w:val="0"/>
        <w:spacing w:before="0" w:beforeAutospacing="0" w:after="0" w:afterAutospacing="0" w:line="15" w:lineRule="atLeast"/>
        <w:ind w:left="0" w:right="0" w:firstLine="648"/>
      </w:pPr>
      <w:bookmarkStart w:id="6" w:name="__RefHeading___Toc5489_WPSOffice_Level2"/>
      <w:bookmarkEnd w:id="6"/>
      <w:r>
        <w:rPr>
          <w:rFonts w:hint="eastAsia" w:ascii="楷体" w:hAnsi="楷体" w:eastAsia="楷体" w:cs="楷体"/>
          <w:sz w:val="27"/>
          <w:szCs w:val="27"/>
          <w:shd w:val="clear" w:fill="FFFFFF"/>
        </w:rPr>
        <w:t>（三）支出决算表（见正文附件）。</w:t>
      </w:r>
    </w:p>
    <w:p>
      <w:pPr>
        <w:pStyle w:val="2"/>
        <w:keepNext w:val="0"/>
        <w:keepLines w:val="0"/>
        <w:widowControl/>
        <w:suppressLineNumbers w:val="0"/>
        <w:spacing w:before="0" w:beforeAutospacing="0" w:after="0" w:afterAutospacing="0" w:line="15" w:lineRule="atLeast"/>
        <w:ind w:left="0" w:right="0" w:firstLine="648"/>
      </w:pPr>
      <w:bookmarkStart w:id="7" w:name="__RefHeading___Toc23493_WPSOffice_Level2"/>
      <w:bookmarkEnd w:id="7"/>
      <w:r>
        <w:rPr>
          <w:rFonts w:hint="eastAsia" w:ascii="楷体" w:hAnsi="楷体" w:eastAsia="楷体" w:cs="楷体"/>
          <w:sz w:val="27"/>
          <w:szCs w:val="27"/>
          <w:shd w:val="clear" w:fill="FFFFFF"/>
        </w:rPr>
        <w:t>（四）财政拨款收入支出决算总表（见正文附件）。</w:t>
      </w:r>
    </w:p>
    <w:p>
      <w:pPr>
        <w:pStyle w:val="2"/>
        <w:keepNext w:val="0"/>
        <w:keepLines w:val="0"/>
        <w:widowControl/>
        <w:suppressLineNumbers w:val="0"/>
        <w:spacing w:before="0" w:beforeAutospacing="0" w:after="0" w:afterAutospacing="0" w:line="15" w:lineRule="atLeast"/>
        <w:ind w:left="0" w:right="0" w:firstLine="648"/>
      </w:pPr>
      <w:bookmarkStart w:id="8" w:name="__RefHeading___Toc7879_WPSOffice_Level2"/>
      <w:bookmarkEnd w:id="8"/>
      <w:r>
        <w:rPr>
          <w:rFonts w:hint="eastAsia" w:ascii="楷体" w:hAnsi="楷体" w:eastAsia="楷体" w:cs="楷体"/>
          <w:sz w:val="27"/>
          <w:szCs w:val="27"/>
          <w:shd w:val="clear" w:fill="FFFFFF"/>
        </w:rPr>
        <w:t>（五）一般公共预算财政拨款收入支出决算表</w:t>
      </w:r>
    </w:p>
    <w:p>
      <w:pPr>
        <w:pStyle w:val="2"/>
        <w:keepNext w:val="0"/>
        <w:keepLines w:val="0"/>
        <w:widowControl/>
        <w:suppressLineNumbers w:val="0"/>
        <w:spacing w:before="0" w:beforeAutospacing="0" w:after="0" w:afterAutospacing="0" w:line="15" w:lineRule="atLeast"/>
        <w:ind w:left="0" w:right="0" w:firstLine="1296"/>
      </w:pPr>
      <w:r>
        <w:rPr>
          <w:rFonts w:hint="eastAsia" w:ascii="楷体" w:hAnsi="楷体" w:eastAsia="楷体" w:cs="楷体"/>
          <w:sz w:val="27"/>
          <w:szCs w:val="27"/>
          <w:shd w:val="clear" w:fill="FFFFFF"/>
        </w:rPr>
        <w:t>（见正文附件）。</w:t>
      </w:r>
    </w:p>
    <w:p>
      <w:pPr>
        <w:pStyle w:val="2"/>
        <w:keepNext w:val="0"/>
        <w:keepLines w:val="0"/>
        <w:widowControl/>
        <w:suppressLineNumbers w:val="0"/>
        <w:spacing w:before="0" w:beforeAutospacing="0" w:after="0" w:afterAutospacing="0" w:line="15" w:lineRule="atLeast"/>
        <w:ind w:left="0" w:right="0" w:firstLine="648"/>
      </w:pPr>
      <w:bookmarkStart w:id="9" w:name="__RefHeading___Toc8373_WPSOffice_Level2"/>
      <w:bookmarkEnd w:id="9"/>
      <w:r>
        <w:rPr>
          <w:rFonts w:hint="eastAsia" w:ascii="楷体" w:hAnsi="楷体" w:eastAsia="楷体" w:cs="楷体"/>
          <w:sz w:val="27"/>
          <w:szCs w:val="27"/>
          <w:shd w:val="clear" w:fill="FFFFFF"/>
        </w:rPr>
        <w:t>（六）一般公共预算财政拨款基本支出决算明细表</w:t>
      </w:r>
    </w:p>
    <w:p>
      <w:pPr>
        <w:pStyle w:val="2"/>
        <w:keepNext w:val="0"/>
        <w:keepLines w:val="0"/>
        <w:widowControl/>
        <w:suppressLineNumbers w:val="0"/>
        <w:spacing w:before="0" w:beforeAutospacing="0" w:after="0" w:afterAutospacing="0" w:line="15" w:lineRule="atLeast"/>
        <w:ind w:left="0" w:right="0" w:firstLine="1282"/>
      </w:pPr>
      <w:r>
        <w:rPr>
          <w:rFonts w:hint="eastAsia" w:ascii="楷体" w:hAnsi="楷体" w:eastAsia="楷体" w:cs="楷体"/>
          <w:sz w:val="27"/>
          <w:szCs w:val="27"/>
          <w:shd w:val="clear" w:fill="FFFFFF"/>
        </w:rPr>
        <w:t>（见正文附件）。</w:t>
      </w:r>
    </w:p>
    <w:p>
      <w:pPr>
        <w:pStyle w:val="2"/>
        <w:keepNext w:val="0"/>
        <w:keepLines w:val="0"/>
        <w:widowControl/>
        <w:suppressLineNumbers w:val="0"/>
        <w:spacing w:before="0" w:beforeAutospacing="0" w:after="0" w:afterAutospacing="0" w:line="15" w:lineRule="atLeast"/>
        <w:ind w:left="1124" w:right="0" w:hanging="475"/>
      </w:pPr>
      <w:bookmarkStart w:id="10" w:name="__RefHeading___Toc21310_WPSOffice_Level2"/>
      <w:bookmarkEnd w:id="10"/>
      <w:r>
        <w:rPr>
          <w:rFonts w:hint="eastAsia" w:ascii="楷体" w:hAnsi="楷体" w:eastAsia="楷体" w:cs="楷体"/>
          <w:sz w:val="27"/>
          <w:szCs w:val="27"/>
          <w:shd w:val="clear" w:fill="FFFFFF"/>
        </w:rPr>
        <w:t>（七）政府性基金预算财政拨款收入支出决算表</w:t>
      </w:r>
    </w:p>
    <w:p>
      <w:pPr>
        <w:pStyle w:val="2"/>
        <w:keepNext w:val="0"/>
        <w:keepLines w:val="0"/>
        <w:widowControl/>
        <w:suppressLineNumbers w:val="0"/>
        <w:spacing w:before="0" w:beforeAutospacing="0" w:after="0" w:afterAutospacing="0" w:line="15" w:lineRule="atLeast"/>
        <w:ind w:left="1282" w:right="0" w:firstLine="158"/>
      </w:pPr>
      <w:r>
        <w:rPr>
          <w:rFonts w:hint="eastAsia" w:ascii="楷体" w:hAnsi="楷体" w:eastAsia="楷体" w:cs="楷体"/>
          <w:sz w:val="27"/>
          <w:szCs w:val="27"/>
          <w:shd w:val="clear" w:fill="FFFFFF"/>
        </w:rPr>
        <w:t>（见正文附件）。</w:t>
      </w:r>
    </w:p>
    <w:p>
      <w:pPr>
        <w:pStyle w:val="2"/>
        <w:keepNext w:val="0"/>
        <w:keepLines w:val="0"/>
        <w:widowControl/>
        <w:suppressLineNumbers w:val="0"/>
        <w:spacing w:before="0" w:beforeAutospacing="0" w:after="0" w:afterAutospacing="0" w:line="15" w:lineRule="atLeast"/>
        <w:ind w:left="0" w:right="0" w:firstLine="634"/>
      </w:pPr>
      <w:bookmarkStart w:id="11" w:name="__RefHeading___Toc1820_WPSOffice_Level2"/>
      <w:bookmarkEnd w:id="11"/>
      <w:r>
        <w:rPr>
          <w:rFonts w:hint="eastAsia" w:ascii="楷体" w:hAnsi="楷体" w:eastAsia="楷体" w:cs="楷体"/>
          <w:sz w:val="27"/>
          <w:szCs w:val="27"/>
          <w:shd w:val="clear" w:fill="FFFFFF"/>
        </w:rPr>
        <w:t>（八）一般公共预算财政拨款“三公”经费支出决算表</w:t>
      </w:r>
    </w:p>
    <w:p>
      <w:pPr>
        <w:pStyle w:val="2"/>
        <w:keepNext w:val="0"/>
        <w:keepLines w:val="0"/>
        <w:widowControl/>
        <w:suppressLineNumbers w:val="0"/>
        <w:spacing w:before="0" w:beforeAutospacing="0" w:after="0" w:afterAutospacing="0" w:line="15" w:lineRule="atLeast"/>
        <w:ind w:left="0" w:right="0" w:firstLine="1282"/>
      </w:pPr>
      <w:r>
        <w:rPr>
          <w:rFonts w:hint="eastAsia" w:ascii="楷体" w:hAnsi="楷体" w:eastAsia="楷体" w:cs="楷体"/>
          <w:sz w:val="27"/>
          <w:szCs w:val="27"/>
          <w:shd w:val="clear" w:fill="FFFFFF"/>
        </w:rPr>
        <w:t>（见正文附件）。</w:t>
      </w:r>
    </w:p>
    <w:p>
      <w:pPr>
        <w:pStyle w:val="2"/>
        <w:keepNext w:val="0"/>
        <w:keepLines w:val="0"/>
        <w:widowControl/>
        <w:suppressLineNumbers w:val="0"/>
        <w:spacing w:before="0" w:beforeAutospacing="0" w:after="0" w:afterAutospacing="0" w:line="15" w:lineRule="atLeast"/>
        <w:ind w:left="0" w:right="0"/>
        <w:jc w:val="center"/>
      </w:pPr>
      <w:bookmarkStart w:id="12" w:name="__RefHeading___Toc27590_WPSOffice_Level1"/>
      <w:bookmarkEnd w:id="12"/>
      <w:r>
        <w:rPr>
          <w:rFonts w:hint="eastAsia" w:ascii="黑体" w:hAnsi="宋体" w:eastAsia="黑体" w:cs="黑体"/>
          <w:b w:val="0"/>
          <w:bCs w:val="0"/>
          <w:sz w:val="27"/>
          <w:szCs w:val="27"/>
          <w:shd w:val="clear" w:fill="FFFFFF"/>
        </w:rPr>
        <w:t>第三部分 临高县皇桐中心幼儿园2019年度决算情况说明</w:t>
      </w:r>
    </w:p>
    <w:p>
      <w:pPr>
        <w:pStyle w:val="2"/>
        <w:keepNext w:val="0"/>
        <w:keepLines w:val="0"/>
        <w:widowControl/>
        <w:suppressLineNumbers w:val="0"/>
        <w:spacing w:before="0" w:beforeAutospacing="0" w:after="0" w:afterAutospacing="0" w:line="15" w:lineRule="atLeast"/>
        <w:ind w:left="0" w:right="0"/>
      </w:pPr>
    </w:p>
    <w:p>
      <w:pPr>
        <w:pStyle w:val="2"/>
        <w:keepNext w:val="0"/>
        <w:keepLines w:val="0"/>
        <w:widowControl/>
        <w:suppressLineNumbers w:val="0"/>
        <w:spacing w:before="274" w:beforeAutospacing="0" w:after="274" w:afterAutospacing="0" w:line="15" w:lineRule="atLeast"/>
        <w:ind w:left="0" w:right="0" w:firstLine="634"/>
      </w:pPr>
      <w:r>
        <w:rPr>
          <w:rFonts w:hint="eastAsia" w:ascii="黑体" w:hAnsi="宋体" w:eastAsia="黑体" w:cs="黑体"/>
          <w:b w:val="0"/>
          <w:bCs w:val="0"/>
          <w:sz w:val="27"/>
          <w:szCs w:val="27"/>
          <w:shd w:val="clear" w:fill="FFFFFF"/>
        </w:rPr>
        <w:t>一、收入支出决算总体情况说明</w:t>
      </w:r>
      <w:r>
        <w:rPr>
          <w:rFonts w:hint="eastAsia" w:ascii="黑体" w:hAnsi="宋体" w:eastAsia="黑体" w:cs="黑体"/>
          <w:b w:val="0"/>
          <w:bCs w:val="0"/>
          <w:sz w:val="27"/>
          <w:szCs w:val="27"/>
          <w:shd w:val="clear" w:fill="FFFFFF"/>
        </w:rPr>
        <w:br w:type="textWrapping"/>
      </w:r>
      <w:r>
        <w:rPr>
          <w:rFonts w:hint="eastAsia" w:ascii="楷体" w:eastAsia="楷体" w:cs="楷体"/>
          <w:sz w:val="27"/>
          <w:szCs w:val="27"/>
          <w:shd w:val="clear" w:fill="FFFFFF"/>
        </w:rPr>
        <w:t> </w:t>
      </w:r>
      <w:r>
        <w:rPr>
          <w:rFonts w:hint="eastAsia" w:ascii="仿宋" w:hAnsi="宋体" w:eastAsia="仿宋" w:cs="仿宋"/>
          <w:sz w:val="27"/>
          <w:szCs w:val="27"/>
          <w:shd w:val="clear" w:fill="FFFFFF"/>
        </w:rPr>
        <w:t>临高县皇桐中心幼儿园</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年度决算收入总计</w:t>
      </w:r>
      <w:r>
        <w:rPr>
          <w:rFonts w:hint="eastAsia" w:ascii="仿宋" w:eastAsia="仿宋" w:cs="仿宋"/>
          <w:sz w:val="27"/>
          <w:szCs w:val="27"/>
          <w:shd w:val="clear" w:fill="FFFFFF"/>
        </w:rPr>
        <w:t>198.01</w:t>
      </w:r>
      <w:r>
        <w:rPr>
          <w:rFonts w:hint="eastAsia" w:ascii="仿宋" w:hAnsi="宋体" w:eastAsia="仿宋" w:cs="仿宋"/>
          <w:sz w:val="27"/>
          <w:szCs w:val="27"/>
          <w:shd w:val="clear" w:fill="FFFFFF"/>
        </w:rPr>
        <w:t>万元，与</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年度相比，增加</w:t>
      </w:r>
      <w:r>
        <w:rPr>
          <w:rFonts w:hint="eastAsia" w:ascii="仿宋" w:eastAsia="仿宋" w:cs="仿宋"/>
          <w:sz w:val="27"/>
          <w:szCs w:val="27"/>
          <w:shd w:val="clear" w:fill="FFFFFF"/>
        </w:rPr>
        <w:t>89.48</w:t>
      </w:r>
      <w:r>
        <w:rPr>
          <w:rFonts w:hint="eastAsia" w:ascii="仿宋" w:hAnsi="宋体" w:eastAsia="仿宋" w:cs="仿宋"/>
          <w:sz w:val="27"/>
          <w:szCs w:val="27"/>
          <w:shd w:val="clear" w:fill="FFFFFF"/>
        </w:rPr>
        <w:t>万元，增长</w:t>
      </w:r>
      <w:r>
        <w:rPr>
          <w:rFonts w:hint="eastAsia" w:ascii="仿宋" w:eastAsia="仿宋" w:cs="仿宋"/>
          <w:sz w:val="27"/>
          <w:szCs w:val="27"/>
          <w:shd w:val="clear" w:fill="FFFFFF"/>
        </w:rPr>
        <w:t>82%</w:t>
      </w:r>
      <w:r>
        <w:rPr>
          <w:rFonts w:hint="eastAsia" w:ascii="仿宋" w:hAnsi="宋体" w:eastAsia="仿宋" w:cs="仿宋"/>
          <w:sz w:val="27"/>
          <w:szCs w:val="27"/>
          <w:shd w:val="clear" w:fill="FFFFFF"/>
        </w:rPr>
        <w:t>。主要原因：是单位新聘用人员，人员支出经费增加。</w:t>
      </w:r>
    </w:p>
    <w:p>
      <w:pPr>
        <w:pStyle w:val="2"/>
        <w:keepNext w:val="0"/>
        <w:keepLines w:val="0"/>
        <w:widowControl/>
        <w:suppressLineNumbers w:val="0"/>
        <w:spacing w:before="274" w:beforeAutospacing="0" w:after="274" w:afterAutospacing="0" w:line="15" w:lineRule="atLeast"/>
        <w:ind w:left="0" w:right="0" w:firstLine="634"/>
      </w:pPr>
      <w:r>
        <w:rPr>
          <w:rFonts w:hint="eastAsia" w:ascii="仿宋" w:hAnsi="宋体" w:eastAsia="仿宋" w:cs="仿宋"/>
          <w:sz w:val="27"/>
          <w:szCs w:val="27"/>
          <w:shd w:val="clear" w:fill="FFFFFF"/>
        </w:rPr>
        <w:t>支出总计</w:t>
      </w:r>
      <w:r>
        <w:rPr>
          <w:rFonts w:hint="eastAsia" w:ascii="仿宋" w:eastAsia="仿宋" w:cs="仿宋"/>
          <w:sz w:val="27"/>
          <w:szCs w:val="27"/>
          <w:shd w:val="clear" w:fill="FFFFFF"/>
        </w:rPr>
        <w:t>184.58</w:t>
      </w:r>
      <w:r>
        <w:rPr>
          <w:rFonts w:hint="eastAsia" w:ascii="仿宋" w:hAnsi="宋体" w:eastAsia="仿宋" w:cs="仿宋"/>
          <w:sz w:val="27"/>
          <w:szCs w:val="27"/>
          <w:shd w:val="clear" w:fill="FFFFFF"/>
        </w:rPr>
        <w:t>万元，与</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年度相比，增加</w:t>
      </w:r>
      <w:r>
        <w:rPr>
          <w:rFonts w:hint="eastAsia" w:ascii="仿宋" w:eastAsia="仿宋" w:cs="仿宋"/>
          <w:sz w:val="27"/>
          <w:szCs w:val="27"/>
          <w:shd w:val="clear" w:fill="FFFFFF"/>
        </w:rPr>
        <w:t>77.47</w:t>
      </w:r>
      <w:r>
        <w:rPr>
          <w:rFonts w:hint="eastAsia" w:ascii="仿宋" w:hAnsi="宋体" w:eastAsia="仿宋" w:cs="仿宋"/>
          <w:sz w:val="27"/>
          <w:szCs w:val="27"/>
          <w:shd w:val="clear" w:fill="FFFFFF"/>
        </w:rPr>
        <w:t>万元，增长</w:t>
      </w:r>
      <w:r>
        <w:rPr>
          <w:rFonts w:hint="eastAsia" w:ascii="仿宋" w:eastAsia="仿宋" w:cs="仿宋"/>
          <w:sz w:val="27"/>
          <w:szCs w:val="27"/>
          <w:shd w:val="clear" w:fill="FFFFFF"/>
        </w:rPr>
        <w:t>72%</w:t>
      </w:r>
      <w:r>
        <w:rPr>
          <w:rFonts w:hint="eastAsia" w:ascii="仿宋" w:hAnsi="宋体" w:eastAsia="仿宋" w:cs="仿宋"/>
          <w:sz w:val="27"/>
          <w:szCs w:val="27"/>
          <w:shd w:val="clear" w:fill="FFFFFF"/>
        </w:rPr>
        <w:t>。主要原因：是单位新聘用人员，人员支出经费增加。</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二、收入决算情况说明</w:t>
      </w:r>
      <w:r>
        <w:rPr>
          <w:rFonts w:hint="eastAsia" w:ascii="楷体" w:eastAsia="楷体" w:cs="楷体"/>
          <w:sz w:val="27"/>
          <w:szCs w:val="27"/>
          <w:shd w:val="clear" w:fill="FFFFFF"/>
        </w:rPr>
        <w:br w:type="textWrapping"/>
      </w:r>
      <w:r>
        <w:rPr>
          <w:rFonts w:hint="eastAsia" w:ascii="仿宋" w:eastAsia="仿宋" w:cs="仿宋"/>
          <w:sz w:val="27"/>
          <w:szCs w:val="27"/>
          <w:shd w:val="clear" w:fill="FFFFFF"/>
        </w:rPr>
        <w:t xml:space="preserve">  </w:t>
      </w:r>
      <w:r>
        <w:rPr>
          <w:rFonts w:hint="eastAsia" w:ascii="仿宋" w:hAnsi="宋体" w:eastAsia="仿宋" w:cs="仿宋"/>
          <w:sz w:val="27"/>
          <w:szCs w:val="27"/>
          <w:shd w:val="clear" w:fill="FFFFFF"/>
        </w:rPr>
        <w:t>本年收入合计</w:t>
      </w:r>
      <w:r>
        <w:rPr>
          <w:rFonts w:hint="eastAsia" w:ascii="仿宋" w:eastAsia="仿宋" w:cs="仿宋"/>
          <w:sz w:val="27"/>
          <w:szCs w:val="27"/>
          <w:shd w:val="clear" w:fill="FFFFFF"/>
        </w:rPr>
        <w:t>198.01</w:t>
      </w:r>
      <w:r>
        <w:rPr>
          <w:rFonts w:hint="eastAsia" w:ascii="仿宋" w:hAnsi="宋体" w:eastAsia="仿宋" w:cs="仿宋"/>
          <w:sz w:val="27"/>
          <w:szCs w:val="27"/>
          <w:shd w:val="clear" w:fill="FFFFFF"/>
        </w:rPr>
        <w:t>万元，其中：财政拨款收入</w:t>
      </w:r>
    </w:p>
    <w:p>
      <w:pPr>
        <w:pStyle w:val="2"/>
        <w:keepNext w:val="0"/>
        <w:keepLines w:val="0"/>
        <w:widowControl/>
        <w:suppressLineNumbers w:val="0"/>
        <w:spacing w:before="0" w:beforeAutospacing="0" w:after="0" w:afterAutospacing="0" w:line="15" w:lineRule="atLeast"/>
        <w:ind w:left="0" w:right="0"/>
      </w:pPr>
      <w:r>
        <w:rPr>
          <w:rFonts w:hint="eastAsia" w:ascii="仿宋" w:eastAsia="仿宋" w:cs="仿宋"/>
          <w:sz w:val="27"/>
          <w:szCs w:val="27"/>
          <w:shd w:val="clear" w:fill="FFFFFF"/>
        </w:rPr>
        <w:t>179.26</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91%</w:t>
      </w:r>
      <w:r>
        <w:rPr>
          <w:rFonts w:hint="eastAsia" w:ascii="仿宋" w:hAnsi="宋体" w:eastAsia="仿宋" w:cs="仿宋"/>
          <w:sz w:val="27"/>
          <w:szCs w:val="27"/>
          <w:shd w:val="clear" w:fill="FFFFFF"/>
        </w:rPr>
        <w:t>；上级补助收入</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；事业收入</w:t>
      </w:r>
      <w:r>
        <w:rPr>
          <w:rFonts w:hint="eastAsia" w:ascii="仿宋" w:eastAsia="仿宋" w:cs="仿宋"/>
          <w:sz w:val="27"/>
          <w:szCs w:val="27"/>
          <w:shd w:val="clear" w:fill="FFFFFF"/>
        </w:rPr>
        <w:t>17.99</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9%</w:t>
      </w:r>
      <w:r>
        <w:rPr>
          <w:rFonts w:hint="eastAsia" w:ascii="仿宋" w:hAnsi="宋体" w:eastAsia="仿宋" w:cs="仿宋"/>
          <w:sz w:val="27"/>
          <w:szCs w:val="27"/>
          <w:shd w:val="clear" w:fill="FFFFFF"/>
        </w:rPr>
        <w:t>；经营收入</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；附属单位上缴收入</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；其他收入</w:t>
      </w:r>
      <w:r>
        <w:rPr>
          <w:rFonts w:hint="eastAsia" w:ascii="仿宋" w:eastAsia="仿宋" w:cs="仿宋"/>
          <w:sz w:val="27"/>
          <w:szCs w:val="27"/>
          <w:shd w:val="clear" w:fill="FFFFFF"/>
        </w:rPr>
        <w:t>0.75</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0.4%</w:t>
      </w:r>
      <w:r>
        <w:rPr>
          <w:rFonts w:hint="eastAsia" w:ascii="仿宋" w:hAnsi="宋体" w:eastAsia="仿宋" w:cs="仿宋"/>
          <w:sz w:val="27"/>
          <w:szCs w:val="27"/>
          <w:shd w:val="clear" w:fill="FFFFFF"/>
        </w:rPr>
        <w:t>，年初结转和结余收入</w:t>
      </w:r>
      <w:r>
        <w:rPr>
          <w:rFonts w:hint="eastAsia" w:ascii="仿宋" w:eastAsia="仿宋" w:cs="仿宋"/>
          <w:sz w:val="27"/>
          <w:szCs w:val="27"/>
          <w:shd w:val="clear" w:fill="FFFFFF"/>
        </w:rPr>
        <w:t>4.06</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2%</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pPr>
      <w:r>
        <w:rPr>
          <w:rFonts w:hint="eastAsia" w:ascii="仿宋" w:hAnsi="宋体" w:eastAsia="仿宋" w:cs="仿宋"/>
          <w:sz w:val="27"/>
          <w:szCs w:val="27"/>
          <w:shd w:val="clear" w:fill="FFFFFF"/>
        </w:rPr>
        <w:t>（上述各项收入数字可取自财决批复</w:t>
      </w:r>
      <w:r>
        <w:rPr>
          <w:rFonts w:hint="eastAsia" w:ascii="仿宋" w:eastAsia="仿宋" w:cs="仿宋"/>
          <w:sz w:val="27"/>
          <w:szCs w:val="27"/>
          <w:shd w:val="clear" w:fill="FFFFFF"/>
        </w:rPr>
        <w:t>02</w:t>
      </w:r>
      <w:r>
        <w:rPr>
          <w:rFonts w:hint="eastAsia" w:ascii="仿宋" w:hAnsi="宋体" w:eastAsia="仿宋" w:cs="仿宋"/>
          <w:sz w:val="27"/>
          <w:szCs w:val="27"/>
          <w:shd w:val="clear" w:fill="FFFFFF"/>
        </w:rPr>
        <w:t>表）</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三、支出决算情况说明</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本年支出合计</w:t>
      </w:r>
      <w:r>
        <w:rPr>
          <w:rFonts w:hint="eastAsia" w:ascii="仿宋" w:eastAsia="仿宋" w:cs="仿宋"/>
          <w:sz w:val="27"/>
          <w:szCs w:val="27"/>
          <w:shd w:val="clear" w:fill="FFFFFF"/>
        </w:rPr>
        <w:t>184.58</w:t>
      </w:r>
      <w:r>
        <w:rPr>
          <w:rFonts w:hint="eastAsia" w:ascii="仿宋" w:hAnsi="宋体" w:eastAsia="仿宋" w:cs="仿宋"/>
          <w:sz w:val="27"/>
          <w:szCs w:val="27"/>
          <w:shd w:val="clear" w:fill="FFFFFF"/>
        </w:rPr>
        <w:t>万元，其中：基本支出</w:t>
      </w:r>
      <w:r>
        <w:rPr>
          <w:rFonts w:hint="eastAsia" w:ascii="仿宋" w:eastAsia="仿宋" w:cs="仿宋"/>
          <w:sz w:val="27"/>
          <w:szCs w:val="27"/>
          <w:shd w:val="clear" w:fill="FFFFFF"/>
        </w:rPr>
        <w:t>177.19</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96%</w:t>
      </w:r>
      <w:r>
        <w:rPr>
          <w:rFonts w:hint="eastAsia" w:ascii="仿宋" w:hAnsi="宋体" w:eastAsia="仿宋" w:cs="仿宋"/>
          <w:sz w:val="27"/>
          <w:szCs w:val="27"/>
          <w:shd w:val="clear" w:fill="FFFFFF"/>
        </w:rPr>
        <w:t>；项目支出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；上缴上级支出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；经营支出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；对附属单位补助支出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（上述各项支出数字可取自财决批复03表。）</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四、财政拨款收入支出决算总体情况说明</w:t>
      </w:r>
    </w:p>
    <w:p>
      <w:pPr>
        <w:pStyle w:val="2"/>
        <w:keepNext w:val="0"/>
        <w:keepLines w:val="0"/>
        <w:widowControl/>
        <w:suppressLineNumbers w:val="0"/>
        <w:spacing w:before="274" w:beforeAutospacing="0" w:after="274"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年度财政拨款收入总计</w:t>
      </w:r>
      <w:r>
        <w:rPr>
          <w:rFonts w:hint="eastAsia" w:ascii="仿宋" w:eastAsia="仿宋" w:cs="仿宋"/>
          <w:sz w:val="27"/>
          <w:szCs w:val="27"/>
          <w:shd w:val="clear" w:fill="FFFFFF"/>
        </w:rPr>
        <w:t>198.01</w:t>
      </w:r>
      <w:r>
        <w:rPr>
          <w:rFonts w:hint="eastAsia" w:ascii="仿宋" w:hAnsi="宋体" w:eastAsia="仿宋" w:cs="仿宋"/>
          <w:sz w:val="27"/>
          <w:szCs w:val="27"/>
          <w:shd w:val="clear" w:fill="FFFFFF"/>
        </w:rPr>
        <w:t>万元，支出总计</w:t>
      </w:r>
      <w:r>
        <w:rPr>
          <w:rFonts w:hint="eastAsia" w:ascii="仿宋" w:eastAsia="仿宋" w:cs="仿宋"/>
          <w:sz w:val="27"/>
          <w:szCs w:val="27"/>
          <w:shd w:val="clear" w:fill="FFFFFF"/>
        </w:rPr>
        <w:t>184.58</w:t>
      </w:r>
      <w:r>
        <w:rPr>
          <w:rFonts w:hint="eastAsia" w:ascii="仿宋" w:hAnsi="宋体" w:eastAsia="仿宋" w:cs="仿宋"/>
          <w:sz w:val="27"/>
          <w:szCs w:val="27"/>
          <w:shd w:val="clear" w:fill="FFFFFF"/>
        </w:rPr>
        <w:t>万元。与</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年度相比，增加</w:t>
      </w:r>
      <w:r>
        <w:rPr>
          <w:rFonts w:hint="eastAsia" w:ascii="仿宋" w:eastAsia="仿宋" w:cs="仿宋"/>
          <w:sz w:val="27"/>
          <w:szCs w:val="27"/>
          <w:shd w:val="clear" w:fill="FFFFFF"/>
        </w:rPr>
        <w:t>89.48</w:t>
      </w:r>
      <w:r>
        <w:rPr>
          <w:rFonts w:hint="eastAsia" w:ascii="仿宋" w:hAnsi="宋体" w:eastAsia="仿宋" w:cs="仿宋"/>
          <w:sz w:val="27"/>
          <w:szCs w:val="27"/>
          <w:shd w:val="clear" w:fill="FFFFFF"/>
        </w:rPr>
        <w:t>万元，增长</w:t>
      </w:r>
      <w:r>
        <w:rPr>
          <w:rFonts w:hint="eastAsia" w:ascii="仿宋" w:eastAsia="仿宋" w:cs="仿宋"/>
          <w:sz w:val="27"/>
          <w:szCs w:val="27"/>
          <w:shd w:val="clear" w:fill="FFFFFF"/>
        </w:rPr>
        <w:t>82%</w:t>
      </w:r>
      <w:r>
        <w:rPr>
          <w:rFonts w:hint="eastAsia" w:ascii="仿宋" w:hAnsi="宋体" w:eastAsia="仿宋" w:cs="仿宋"/>
          <w:sz w:val="27"/>
          <w:szCs w:val="27"/>
          <w:shd w:val="clear" w:fill="FFFFFF"/>
        </w:rPr>
        <w:t>。支出总计</w:t>
      </w:r>
      <w:r>
        <w:rPr>
          <w:rFonts w:hint="eastAsia" w:ascii="仿宋" w:eastAsia="仿宋" w:cs="仿宋"/>
          <w:sz w:val="27"/>
          <w:szCs w:val="27"/>
          <w:shd w:val="clear" w:fill="FFFFFF"/>
        </w:rPr>
        <w:t>184.58</w:t>
      </w:r>
      <w:r>
        <w:rPr>
          <w:rFonts w:hint="eastAsia" w:ascii="仿宋" w:hAnsi="宋体" w:eastAsia="仿宋" w:cs="仿宋"/>
          <w:sz w:val="27"/>
          <w:szCs w:val="27"/>
          <w:shd w:val="clear" w:fill="FFFFFF"/>
        </w:rPr>
        <w:t>万元，与</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年度相比，增加</w:t>
      </w:r>
      <w:r>
        <w:rPr>
          <w:rFonts w:hint="eastAsia" w:ascii="仿宋" w:eastAsia="仿宋" w:cs="仿宋"/>
          <w:sz w:val="27"/>
          <w:szCs w:val="27"/>
          <w:shd w:val="clear" w:fill="FFFFFF"/>
        </w:rPr>
        <w:t>77.47</w:t>
      </w:r>
      <w:r>
        <w:rPr>
          <w:rFonts w:hint="eastAsia" w:ascii="仿宋" w:hAnsi="宋体" w:eastAsia="仿宋" w:cs="仿宋"/>
          <w:sz w:val="27"/>
          <w:szCs w:val="27"/>
          <w:shd w:val="clear" w:fill="FFFFFF"/>
        </w:rPr>
        <w:t>万元，增长</w:t>
      </w:r>
      <w:r>
        <w:rPr>
          <w:rFonts w:hint="eastAsia" w:ascii="仿宋" w:eastAsia="仿宋" w:cs="仿宋"/>
          <w:sz w:val="27"/>
          <w:szCs w:val="27"/>
          <w:shd w:val="clear" w:fill="FFFFFF"/>
        </w:rPr>
        <w:t>72%</w:t>
      </w:r>
      <w:r>
        <w:rPr>
          <w:rFonts w:hint="eastAsia" w:ascii="仿宋" w:hAnsi="宋体" w:eastAsia="仿宋" w:cs="仿宋"/>
          <w:sz w:val="27"/>
          <w:szCs w:val="27"/>
          <w:shd w:val="clear" w:fill="FFFFFF"/>
        </w:rPr>
        <w:t>。主要原因：是单位人员增加。</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年度财政拨款收入、支出总计数可取自公开</w:t>
      </w:r>
      <w:r>
        <w:rPr>
          <w:rFonts w:hint="eastAsia" w:ascii="仿宋" w:eastAsia="仿宋" w:cs="仿宋"/>
          <w:sz w:val="27"/>
          <w:szCs w:val="27"/>
          <w:shd w:val="clear" w:fill="FFFFFF"/>
        </w:rPr>
        <w:t>04</w:t>
      </w:r>
      <w:r>
        <w:rPr>
          <w:rFonts w:hint="eastAsia" w:ascii="仿宋" w:hAnsi="宋体" w:eastAsia="仿宋" w:cs="仿宋"/>
          <w:sz w:val="27"/>
          <w:szCs w:val="27"/>
          <w:shd w:val="clear" w:fill="FFFFFF"/>
        </w:rPr>
        <w:t>表财政拨款收入支出决算总表收入总计栏和支出总计栏。收入总计等于支出总计。</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收支总计数可取自</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年度部门决算报表财政拨款收入支出决算总表收入总计栏和支出总计栏。）</w:t>
      </w:r>
    </w:p>
    <w:p>
      <w:pPr>
        <w:keepNext w:val="0"/>
        <w:keepLines w:val="0"/>
        <w:widowControl/>
        <w:numPr>
          <w:ilvl w:val="0"/>
          <w:numId w:val="2"/>
        </w:numPr>
        <w:suppressLineNumbers w:val="0"/>
        <w:spacing w:before="0" w:beforeAutospacing="0" w:after="0" w:afterAutospacing="0" w:line="15" w:lineRule="atLeast"/>
        <w:ind w:left="1440" w:right="0" w:hanging="360"/>
      </w:pPr>
    </w:p>
    <w:p>
      <w:pPr>
        <w:pStyle w:val="2"/>
        <w:keepNext w:val="0"/>
        <w:keepLines w:val="0"/>
        <w:widowControl/>
        <w:suppressLineNumbers w:val="0"/>
        <w:spacing w:before="0" w:beforeAutospacing="0" w:after="0" w:afterAutospacing="0" w:line="15" w:lineRule="atLeast"/>
        <w:ind w:left="720" w:right="0"/>
        <w:rPr>
          <w:b w:val="0"/>
          <w:bCs w:val="0"/>
        </w:rPr>
      </w:pPr>
      <w:bookmarkStart w:id="13" w:name="__RefHeading___Toc21737_WPSOffice_Level2"/>
      <w:bookmarkEnd w:id="13"/>
      <w:r>
        <w:rPr>
          <w:rFonts w:hint="eastAsia" w:ascii="黑体" w:hAnsi="宋体" w:eastAsia="黑体" w:cs="黑体"/>
          <w:b w:val="0"/>
          <w:bCs w:val="0"/>
          <w:sz w:val="27"/>
          <w:szCs w:val="27"/>
          <w:shd w:val="clear" w:fill="FFFFFF"/>
        </w:rPr>
        <w:t>一般公共预算财政拨款支出决算情况说明</w:t>
      </w:r>
    </w:p>
    <w:p>
      <w:pPr>
        <w:keepNext w:val="0"/>
        <w:keepLines w:val="0"/>
        <w:widowControl/>
        <w:numPr>
          <w:ilvl w:val="0"/>
          <w:numId w:val="2"/>
        </w:numPr>
        <w:suppressLineNumbers w:val="0"/>
        <w:spacing w:before="0" w:beforeAutospacing="0" w:after="0" w:afterAutospacing="0" w:line="15" w:lineRule="atLeast"/>
        <w:ind w:left="1440" w:right="0" w:hanging="360"/>
      </w:pPr>
    </w:p>
    <w:p>
      <w:pPr>
        <w:keepNext w:val="0"/>
        <w:keepLines w:val="0"/>
        <w:widowControl/>
        <w:numPr>
          <w:ilvl w:val="0"/>
          <w:numId w:val="3"/>
        </w:numPr>
        <w:suppressLineNumbers w:val="0"/>
        <w:spacing w:before="0" w:beforeAutospacing="0" w:after="0" w:afterAutospacing="0" w:line="15" w:lineRule="atLeast"/>
        <w:ind w:left="1440" w:right="0" w:hanging="360"/>
      </w:pPr>
    </w:p>
    <w:p>
      <w:pPr>
        <w:pStyle w:val="2"/>
        <w:keepNext w:val="0"/>
        <w:keepLines w:val="0"/>
        <w:widowControl/>
        <w:suppressLineNumbers w:val="0"/>
        <w:spacing w:before="0" w:beforeAutospacing="0" w:after="0" w:afterAutospacing="0" w:line="15" w:lineRule="atLeast"/>
        <w:ind w:left="720" w:right="0"/>
      </w:pPr>
      <w:r>
        <w:rPr>
          <w:rFonts w:hint="eastAsia" w:ascii="楷体" w:hAnsi="楷体" w:eastAsia="楷体" w:cs="楷体"/>
          <w:sz w:val="27"/>
          <w:szCs w:val="27"/>
          <w:shd w:val="clear" w:fill="FFFFFF"/>
        </w:rPr>
        <w:t>一般公共预算财政拨款支出决算总体情况。</w:t>
      </w:r>
    </w:p>
    <w:p>
      <w:pPr>
        <w:keepNext w:val="0"/>
        <w:keepLines w:val="0"/>
        <w:widowControl/>
        <w:numPr>
          <w:ilvl w:val="0"/>
          <w:numId w:val="3"/>
        </w:numPr>
        <w:suppressLineNumbers w:val="0"/>
        <w:spacing w:before="0" w:beforeAutospacing="0" w:after="0" w:afterAutospacing="0" w:line="15" w:lineRule="atLeast"/>
        <w:ind w:left="1440" w:right="0" w:hanging="360"/>
      </w:pP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年度一般公共预算财政拨款支出</w:t>
      </w:r>
      <w:r>
        <w:rPr>
          <w:rFonts w:hint="eastAsia" w:ascii="仿宋" w:eastAsia="仿宋" w:cs="仿宋"/>
          <w:sz w:val="27"/>
          <w:szCs w:val="27"/>
          <w:shd w:val="clear" w:fill="FFFFFF"/>
        </w:rPr>
        <w:t>179.26</w:t>
      </w:r>
      <w:r>
        <w:rPr>
          <w:rFonts w:hint="eastAsia" w:ascii="仿宋" w:hAnsi="宋体" w:eastAsia="仿宋" w:cs="仿宋"/>
          <w:sz w:val="27"/>
          <w:szCs w:val="27"/>
          <w:shd w:val="clear" w:fill="FFFFFF"/>
        </w:rPr>
        <w:t>万元，占本年支出合计的</w:t>
      </w:r>
      <w:r>
        <w:rPr>
          <w:rFonts w:hint="eastAsia" w:ascii="仿宋" w:eastAsia="仿宋" w:cs="仿宋"/>
          <w:sz w:val="27"/>
          <w:szCs w:val="27"/>
          <w:shd w:val="clear" w:fill="FFFFFF"/>
        </w:rPr>
        <w:t>97%</w:t>
      </w:r>
      <w:r>
        <w:rPr>
          <w:rFonts w:hint="eastAsia" w:ascii="仿宋" w:hAnsi="宋体" w:eastAsia="仿宋" w:cs="仿宋"/>
          <w:sz w:val="27"/>
          <w:szCs w:val="27"/>
          <w:shd w:val="clear" w:fill="FFFFFF"/>
        </w:rPr>
        <w:t>。与</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年度相比，财政拨款支出增加</w:t>
      </w:r>
      <w:r>
        <w:rPr>
          <w:rFonts w:hint="eastAsia" w:ascii="仿宋" w:eastAsia="仿宋" w:cs="仿宋"/>
          <w:sz w:val="27"/>
          <w:szCs w:val="27"/>
          <w:shd w:val="clear" w:fill="FFFFFF"/>
        </w:rPr>
        <w:t>62.82</w:t>
      </w:r>
      <w:r>
        <w:rPr>
          <w:rFonts w:hint="eastAsia" w:ascii="仿宋" w:hAnsi="宋体" w:eastAsia="仿宋" w:cs="仿宋"/>
          <w:sz w:val="27"/>
          <w:szCs w:val="27"/>
          <w:shd w:val="clear" w:fill="FFFFFF"/>
        </w:rPr>
        <w:t>万元，增长</w:t>
      </w:r>
      <w:r>
        <w:rPr>
          <w:rFonts w:hint="eastAsia" w:ascii="仿宋" w:eastAsia="仿宋" w:cs="仿宋"/>
          <w:sz w:val="27"/>
          <w:szCs w:val="27"/>
          <w:shd w:val="clear" w:fill="FFFFFF"/>
        </w:rPr>
        <w:t>65%</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firstLine="634"/>
      </w:pPr>
      <w:bookmarkStart w:id="14" w:name="__RefHeading___Toc19535_WPSOffice_Level2"/>
      <w:bookmarkEnd w:id="14"/>
      <w:r>
        <w:rPr>
          <w:rFonts w:hint="eastAsia" w:ascii="楷体" w:hAnsi="楷体" w:eastAsia="楷体" w:cs="楷体"/>
          <w:sz w:val="27"/>
          <w:szCs w:val="27"/>
          <w:shd w:val="clear" w:fill="FFFFFF"/>
        </w:rPr>
        <w:t>（二）一般公共预算财政拨款支出决算结构情况。</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年度一般公共预算财政拨款支出</w:t>
      </w:r>
      <w:r>
        <w:rPr>
          <w:rFonts w:hint="eastAsia" w:ascii="仿宋" w:eastAsia="仿宋" w:cs="仿宋"/>
          <w:sz w:val="27"/>
          <w:szCs w:val="27"/>
          <w:shd w:val="clear" w:fill="FFFFFF"/>
        </w:rPr>
        <w:t>179.26</w:t>
      </w:r>
      <w:r>
        <w:rPr>
          <w:rFonts w:hint="eastAsia" w:ascii="仿宋" w:hAnsi="宋体" w:eastAsia="仿宋" w:cs="仿宋"/>
          <w:sz w:val="27"/>
          <w:szCs w:val="27"/>
          <w:shd w:val="clear" w:fill="FFFFFF"/>
        </w:rPr>
        <w:t>万元，主要用于以下方面：</w:t>
      </w:r>
      <w:r>
        <w:rPr>
          <w:rStyle w:val="5"/>
          <w:rFonts w:hint="eastAsia" w:ascii="仿宋" w:hAnsi="宋体" w:eastAsia="仿宋" w:cs="仿宋"/>
          <w:sz w:val="27"/>
          <w:szCs w:val="27"/>
          <w:shd w:val="clear" w:fill="FFFFFF"/>
        </w:rPr>
        <w:t>一般公共服务（类）</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；教育支出</w:t>
      </w:r>
      <w:r>
        <w:rPr>
          <w:rFonts w:hint="eastAsia" w:ascii="仿宋" w:eastAsia="仿宋" w:cs="仿宋"/>
          <w:sz w:val="27"/>
          <w:szCs w:val="27"/>
          <w:shd w:val="clear" w:fill="FFFFFF"/>
        </w:rPr>
        <w:t>145.08</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81%</w:t>
      </w:r>
      <w:r>
        <w:rPr>
          <w:rFonts w:hint="eastAsia" w:ascii="仿宋" w:hAnsi="宋体" w:eastAsia="仿宋" w:cs="仿宋"/>
          <w:sz w:val="27"/>
          <w:szCs w:val="27"/>
          <w:shd w:val="clear" w:fill="FFFFFF"/>
        </w:rPr>
        <w:t>，</w:t>
      </w:r>
      <w:r>
        <w:rPr>
          <w:rStyle w:val="5"/>
          <w:rFonts w:hint="eastAsia" w:ascii="仿宋" w:hAnsi="宋体" w:eastAsia="仿宋" w:cs="仿宋"/>
          <w:sz w:val="27"/>
          <w:szCs w:val="27"/>
          <w:shd w:val="clear" w:fill="FFFFFF"/>
        </w:rPr>
        <w:t>社会保障和就业（类）</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14.59</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8%</w:t>
      </w:r>
      <w:r>
        <w:rPr>
          <w:rFonts w:hint="eastAsia" w:ascii="仿宋" w:hAnsi="宋体" w:eastAsia="仿宋" w:cs="仿宋"/>
          <w:sz w:val="27"/>
          <w:szCs w:val="27"/>
          <w:shd w:val="clear" w:fill="FFFFFF"/>
        </w:rPr>
        <w:t>；</w:t>
      </w:r>
      <w:r>
        <w:rPr>
          <w:rStyle w:val="5"/>
          <w:rFonts w:hint="eastAsia" w:ascii="仿宋" w:hAnsi="宋体" w:eastAsia="仿宋" w:cs="仿宋"/>
          <w:sz w:val="27"/>
          <w:szCs w:val="27"/>
          <w:shd w:val="clear" w:fill="FFFFFF"/>
        </w:rPr>
        <w:t>住房保障（类）</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9.6</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5%</w:t>
      </w:r>
      <w:r>
        <w:rPr>
          <w:rFonts w:hint="eastAsia" w:ascii="仿宋" w:hAnsi="宋体" w:eastAsia="仿宋" w:cs="仿宋"/>
          <w:sz w:val="27"/>
          <w:szCs w:val="27"/>
          <w:shd w:val="clear" w:fill="FFFFFF"/>
        </w:rPr>
        <w:t>；医疗卫生及计划生育支出</w:t>
      </w:r>
      <w:r>
        <w:rPr>
          <w:rFonts w:hint="eastAsia" w:ascii="仿宋" w:eastAsia="仿宋" w:cs="仿宋"/>
          <w:sz w:val="27"/>
          <w:szCs w:val="27"/>
          <w:shd w:val="clear" w:fill="FFFFFF"/>
        </w:rPr>
        <w:t>15.31</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9%</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（根据各部门（单位）实际支出涉及的支出功能分类类级科目填列）</w:t>
      </w:r>
    </w:p>
    <w:p>
      <w:pPr>
        <w:pStyle w:val="2"/>
        <w:keepNext w:val="0"/>
        <w:keepLines w:val="0"/>
        <w:widowControl/>
        <w:suppressLineNumbers w:val="0"/>
        <w:spacing w:before="0" w:beforeAutospacing="0" w:after="0" w:afterAutospacing="0" w:line="15" w:lineRule="atLeast"/>
        <w:ind w:left="0" w:right="0" w:firstLine="634"/>
      </w:pPr>
      <w:r>
        <w:rPr>
          <w:rFonts w:hint="eastAsia" w:ascii="楷体" w:hAnsi="楷体" w:eastAsia="楷体" w:cs="楷体"/>
          <w:sz w:val="27"/>
          <w:szCs w:val="27"/>
          <w:shd w:val="clear" w:fill="FFFFFF"/>
        </w:rPr>
        <w:t>（三）一般公共预算财政拨款支出决算具体情况。</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年度财政拨款支出年初预算为</w:t>
      </w:r>
      <w:r>
        <w:rPr>
          <w:rFonts w:hint="eastAsia" w:ascii="仿宋" w:eastAsia="仿宋" w:cs="仿宋"/>
          <w:sz w:val="27"/>
          <w:szCs w:val="27"/>
          <w:shd w:val="clear" w:fill="FFFFFF"/>
        </w:rPr>
        <w:t>156.69</w:t>
      </w:r>
      <w:r>
        <w:rPr>
          <w:rFonts w:hint="eastAsia" w:ascii="仿宋" w:hAnsi="宋体" w:eastAsia="仿宋" w:cs="仿宋"/>
          <w:sz w:val="27"/>
          <w:szCs w:val="27"/>
          <w:shd w:val="clear" w:fill="FFFFFF"/>
        </w:rPr>
        <w:t>万元，支出决算为</w:t>
      </w:r>
      <w:r>
        <w:rPr>
          <w:rFonts w:hint="eastAsia" w:ascii="仿宋" w:eastAsia="仿宋" w:cs="仿宋"/>
          <w:sz w:val="27"/>
          <w:szCs w:val="27"/>
          <w:shd w:val="clear" w:fill="FFFFFF"/>
        </w:rPr>
        <w:t>179.26</w:t>
      </w:r>
      <w:r>
        <w:rPr>
          <w:rFonts w:hint="eastAsia" w:ascii="仿宋" w:hAnsi="宋体" w:eastAsia="仿宋" w:cs="仿宋"/>
          <w:sz w:val="27"/>
          <w:szCs w:val="27"/>
          <w:shd w:val="clear" w:fill="FFFFFF"/>
        </w:rPr>
        <w:t>万元，完成年初预算的</w:t>
      </w:r>
      <w:r>
        <w:rPr>
          <w:rFonts w:hint="eastAsia" w:ascii="仿宋" w:eastAsia="仿宋" w:cs="仿宋"/>
          <w:sz w:val="27"/>
          <w:szCs w:val="27"/>
          <w:shd w:val="clear" w:fill="FFFFFF"/>
        </w:rPr>
        <w:t>114%</w:t>
      </w:r>
      <w:r>
        <w:rPr>
          <w:rFonts w:hint="eastAsia" w:ascii="仿宋" w:hAnsi="宋体" w:eastAsia="仿宋" w:cs="仿宋"/>
          <w:sz w:val="27"/>
          <w:szCs w:val="27"/>
          <w:shd w:val="clear" w:fill="FFFFFF"/>
        </w:rPr>
        <w:t>。其中：</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（根据各部门（单位）实际支出涉及的支出功能分类项级科目填列）</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六、一般公共预算财政拨款基本支出决算情况说明。</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年度财政拨款基本支出</w:t>
      </w:r>
      <w:r>
        <w:rPr>
          <w:rFonts w:hint="eastAsia" w:ascii="仿宋" w:eastAsia="仿宋" w:cs="仿宋"/>
          <w:sz w:val="27"/>
          <w:szCs w:val="27"/>
          <w:shd w:val="clear" w:fill="FFFFFF"/>
        </w:rPr>
        <w:t>164.98</w:t>
      </w:r>
      <w:r>
        <w:rPr>
          <w:rFonts w:hint="eastAsia" w:ascii="仿宋" w:hAnsi="宋体" w:eastAsia="仿宋" w:cs="仿宋"/>
          <w:sz w:val="27"/>
          <w:szCs w:val="27"/>
          <w:shd w:val="clear" w:fill="FFFFFF"/>
        </w:rPr>
        <w:t>万元，其中：人员经费</w:t>
      </w:r>
      <w:r>
        <w:rPr>
          <w:rFonts w:hint="eastAsia" w:ascii="仿宋" w:eastAsia="仿宋" w:cs="仿宋"/>
          <w:sz w:val="27"/>
          <w:szCs w:val="27"/>
          <w:shd w:val="clear" w:fill="FFFFFF"/>
        </w:rPr>
        <w:t>164.98</w:t>
      </w:r>
      <w:r>
        <w:rPr>
          <w:rFonts w:hint="eastAsia" w:ascii="仿宋" w:hAnsi="宋体" w:eastAsia="仿宋" w:cs="仿宋"/>
          <w:sz w:val="27"/>
          <w:szCs w:val="27"/>
          <w:shd w:val="clear" w:fill="FFFFFF"/>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 w:eastAsia="仿宋" w:cs="仿宋"/>
          <w:sz w:val="27"/>
          <w:szCs w:val="27"/>
          <w:shd w:val="clear" w:fill="FFFFFF"/>
        </w:rPr>
        <w:t>12.21</w:t>
      </w:r>
      <w:r>
        <w:rPr>
          <w:rFonts w:hint="eastAsia" w:ascii="仿宋" w:hAnsi="宋体" w:eastAsia="仿宋" w:cs="仿宋"/>
          <w:sz w:val="27"/>
          <w:szCs w:val="27"/>
          <w:shd w:val="clear" w:fill="FFFFFF"/>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（上述数字可取自公开06表一般公共预算财政拨款基本支出决算表。）</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（各部门（单位）根据实际支出情况，选列相应支出经济分类）</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sz w:val="27"/>
          <w:szCs w:val="27"/>
          <w:shd w:val="clear" w:fill="FFFFFF"/>
        </w:rPr>
        <w:t>七、政府性基金预算财政拨款收入支出决算情况说明</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（一）</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年度政府性基金预算财政拨款收入</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万元，主要是无，较</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年度增加（减少）</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万元，增长（下降）</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。主要原因：无。</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（二）</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年度政府性基金预算财政拨款支出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万元，较</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年度增加（减少）</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万元，增长（下降）</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pPr>
      <w:r>
        <w:rPr>
          <w:rFonts w:hint="eastAsia" w:ascii="仿宋" w:hAnsi="宋体" w:eastAsia="仿宋" w:cs="仿宋"/>
          <w:sz w:val="27"/>
          <w:szCs w:val="27"/>
          <w:shd w:val="clear" w:fill="FFFFFF"/>
        </w:rPr>
        <w:t>（三）</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年度政府性基金预算财政拨款支出年初预算为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万元，支出决算为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万元，完成年初预算的</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（根据各部门（单位）实际支出涉及的支出功能分类项级科目填列，本部分</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年决算相关数据取自财决批复</w:t>
      </w:r>
      <w:r>
        <w:rPr>
          <w:rFonts w:hint="eastAsia" w:ascii="仿宋" w:eastAsia="仿宋" w:cs="仿宋"/>
          <w:sz w:val="27"/>
          <w:szCs w:val="27"/>
          <w:shd w:val="clear" w:fill="FFFFFF"/>
        </w:rPr>
        <w:t>07</w:t>
      </w:r>
      <w:r>
        <w:rPr>
          <w:rFonts w:hint="eastAsia" w:ascii="仿宋" w:hAnsi="宋体" w:eastAsia="仿宋" w:cs="仿宋"/>
          <w:sz w:val="27"/>
          <w:szCs w:val="27"/>
          <w:shd w:val="clear" w:fill="FFFFFF"/>
        </w:rPr>
        <w:t>表；</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年决算相关数据取自财决</w:t>
      </w:r>
      <w:r>
        <w:rPr>
          <w:rFonts w:hint="eastAsia" w:ascii="仿宋" w:eastAsia="仿宋" w:cs="仿宋"/>
          <w:sz w:val="27"/>
          <w:szCs w:val="27"/>
          <w:shd w:val="clear" w:fill="FFFFFF"/>
        </w:rPr>
        <w:t>09</w:t>
      </w:r>
      <w:r>
        <w:rPr>
          <w:rFonts w:hint="eastAsia" w:ascii="仿宋" w:hAnsi="宋体" w:eastAsia="仿宋" w:cs="仿宋"/>
          <w:sz w:val="27"/>
          <w:szCs w:val="27"/>
          <w:shd w:val="clear" w:fill="FFFFFF"/>
        </w:rPr>
        <w:t>表《政府性基金预算财政拨款收入支出决算表》。）</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八、一般公共预算财政拨款“三公”经费支出决算情况说明</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仿宋" w:hAnsi="宋体" w:eastAsia="仿宋" w:cs="仿宋"/>
          <w:sz w:val="27"/>
          <w:szCs w:val="27"/>
          <w:shd w:val="clear" w:fill="FFFFFF"/>
        </w:rPr>
        <w:t>其他国内公务接待</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万元，主要用于……。</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年度共接待国内来访团组数</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个，来宾</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人次。</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公务接待费支出决算比</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年度增加（减少）</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万元，增长（下降）</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。主要原因是……。</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年度“三公”经费预算数、决算数可取自公开</w:t>
      </w:r>
      <w:r>
        <w:rPr>
          <w:rFonts w:hint="eastAsia" w:ascii="仿宋" w:eastAsia="仿宋" w:cs="仿宋"/>
          <w:sz w:val="27"/>
          <w:szCs w:val="27"/>
          <w:shd w:val="clear" w:fill="FFFFFF"/>
        </w:rPr>
        <w:t>07</w:t>
      </w:r>
      <w:r>
        <w:rPr>
          <w:rFonts w:hint="eastAsia" w:ascii="仿宋" w:hAnsi="宋体" w:eastAsia="仿宋" w:cs="仿宋"/>
          <w:sz w:val="27"/>
          <w:szCs w:val="27"/>
          <w:shd w:val="clear" w:fill="FFFFFF"/>
        </w:rPr>
        <w:t>表一般公共预算财政拨款“三公”经费支出决算表，</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年度“三公”经费预算数、决算数可取自</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年度部门决算报表</w:t>
      </w:r>
      <w:r>
        <w:rPr>
          <w:rFonts w:hint="eastAsia" w:ascii="仿宋" w:eastAsia="仿宋" w:cs="仿宋"/>
          <w:sz w:val="27"/>
          <w:szCs w:val="27"/>
          <w:shd w:val="clear" w:fill="FFFFFF"/>
        </w:rPr>
        <w:t>CS05</w:t>
      </w:r>
      <w:r>
        <w:rPr>
          <w:rFonts w:hint="eastAsia" w:ascii="仿宋" w:hAnsi="宋体" w:eastAsia="仿宋" w:cs="仿宋"/>
          <w:sz w:val="27"/>
          <w:szCs w:val="27"/>
          <w:shd w:val="clear" w:fill="FFFFFF"/>
        </w:rPr>
        <w:t>表部门决算相关信息统计表。出国团组数、出国人次，公务用车购置数、公务用车保有量，接待团组数、接待人次可取自可取自</w:t>
      </w:r>
      <w:r>
        <w:rPr>
          <w:rFonts w:hint="eastAsia" w:ascii="仿宋" w:eastAsia="仿宋" w:cs="仿宋"/>
          <w:sz w:val="27"/>
          <w:szCs w:val="27"/>
          <w:shd w:val="clear" w:fill="FFFFFF"/>
        </w:rPr>
        <w:t>2018</w:t>
      </w:r>
      <w:r>
        <w:rPr>
          <w:rFonts w:hint="eastAsia" w:ascii="仿宋" w:hAnsi="宋体" w:eastAsia="仿宋" w:cs="仿宋"/>
          <w:sz w:val="27"/>
          <w:szCs w:val="27"/>
          <w:shd w:val="clear" w:fill="FFFFFF"/>
        </w:rPr>
        <w:t>、</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w:t>
      </w:r>
      <w:r>
        <w:rPr>
          <w:rFonts w:hint="eastAsia" w:ascii="仿宋" w:eastAsia="仿宋" w:cs="仿宋"/>
          <w:sz w:val="27"/>
          <w:szCs w:val="27"/>
          <w:shd w:val="clear" w:fill="FFFFFF"/>
        </w:rPr>
        <w:t>CS05</w:t>
      </w:r>
      <w:r>
        <w:rPr>
          <w:rFonts w:hint="eastAsia" w:ascii="仿宋" w:hAnsi="宋体" w:eastAsia="仿宋" w:cs="仿宋"/>
          <w:sz w:val="27"/>
          <w:szCs w:val="27"/>
          <w:shd w:val="clear" w:fill="FFFFFF"/>
        </w:rPr>
        <w:t>表部门决算相关信息统计表。）</w:t>
      </w:r>
    </w:p>
    <w:p>
      <w:pPr>
        <w:pStyle w:val="2"/>
        <w:keepNext w:val="0"/>
        <w:keepLines w:val="0"/>
        <w:widowControl/>
        <w:suppressLineNumbers w:val="0"/>
        <w:spacing w:before="0" w:beforeAutospacing="0" w:after="0" w:afterAutospacing="0" w:line="576" w:lineRule="atLeast"/>
        <w:ind w:left="0" w:right="0" w:firstLine="634"/>
      </w:pP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楷体" w:hAnsi="楷体" w:eastAsia="楷体" w:cs="楷体"/>
          <w:sz w:val="27"/>
          <w:szCs w:val="27"/>
          <w:shd w:val="clear" w:fill="FFFFFF"/>
        </w:rPr>
        <w:t>（一）一般公共预算财政拨款“三公”经费支出决算总体情况说明。</w:t>
      </w:r>
    </w:p>
    <w:p>
      <w:pPr>
        <w:pStyle w:val="2"/>
        <w:keepNext w:val="0"/>
        <w:keepLines w:val="0"/>
        <w:widowControl/>
        <w:suppressLineNumbers w:val="0"/>
        <w:spacing w:before="0" w:beforeAutospacing="0" w:after="0" w:afterAutospacing="0" w:line="15" w:lineRule="atLeast"/>
        <w:ind w:left="0" w:right="0"/>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年度一般公共预算财政拨款“三公”经费支出预算为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万元，支出决算为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万元，完成预算的</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pPr>
      <w:r>
        <w:rPr>
          <w:rStyle w:val="5"/>
          <w:rFonts w:hint="eastAsia" w:ascii="楷体" w:hAnsi="楷体" w:eastAsia="楷体" w:cs="楷体"/>
          <w:sz w:val="27"/>
          <w:szCs w:val="27"/>
          <w:shd w:val="clear" w:fill="FFFFFF"/>
        </w:rPr>
        <w:t>（二）一般公共预算“三公”经费财政拨款支出决算具体情况说明。</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年度一般公共预算财政拨款“三公”经费支出决算中，因公出国（境）费支出决算</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；公务用车购置及运行费支出决算</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；公务接待费支出决算</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。具体情况如下：</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仿宋" w:eastAsia="仿宋" w:cs="仿宋"/>
          <w:sz w:val="27"/>
          <w:szCs w:val="27"/>
          <w:shd w:val="clear" w:fill="FFFFFF"/>
        </w:rPr>
        <w:t>1.</w:t>
      </w:r>
      <w:r>
        <w:rPr>
          <w:rStyle w:val="5"/>
          <w:rFonts w:hint="eastAsia" w:ascii="仿宋" w:hAnsi="宋体" w:eastAsia="仿宋" w:cs="仿宋"/>
          <w:sz w:val="27"/>
          <w:szCs w:val="27"/>
          <w:shd w:val="clear" w:fill="FFFFFF"/>
        </w:rPr>
        <w:t>因公出国（境）费</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万元。全年安排因公出国（境）团组</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个，因公出国（境）</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人次。开支内容包括：无。</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因公出国（境）费支出决算比预算数增加（减少）</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万元，增长（下降）</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。主要原因：无。</w:t>
      </w:r>
    </w:p>
    <w:p>
      <w:pPr>
        <w:pStyle w:val="2"/>
        <w:keepNext w:val="0"/>
        <w:keepLines w:val="0"/>
        <w:widowControl/>
        <w:suppressLineNumbers w:val="0"/>
        <w:spacing w:before="0" w:beforeAutospacing="0" w:after="0" w:afterAutospacing="0" w:line="15" w:lineRule="atLeast"/>
        <w:ind w:left="0" w:right="0"/>
      </w:pPr>
      <w:r>
        <w:rPr>
          <w:rStyle w:val="5"/>
          <w:rFonts w:hint="eastAsia" w:ascii="仿宋" w:eastAsia="仿宋" w:cs="仿宋"/>
          <w:sz w:val="27"/>
          <w:szCs w:val="27"/>
          <w:shd w:val="clear" w:fill="FFFFFF"/>
        </w:rPr>
        <w:t>2.</w:t>
      </w:r>
      <w:r>
        <w:rPr>
          <w:rStyle w:val="5"/>
          <w:rFonts w:hint="eastAsia" w:ascii="仿宋" w:hAnsi="宋体" w:eastAsia="仿宋" w:cs="仿宋"/>
          <w:sz w:val="27"/>
          <w:szCs w:val="27"/>
          <w:shd w:val="clear" w:fill="FFFFFF"/>
        </w:rPr>
        <w:t>公务用车购置及运行费支出</w:t>
      </w:r>
      <w:r>
        <w:rPr>
          <w:rStyle w:val="5"/>
          <w:rFonts w:hint="eastAsia" w:ascii="仿宋" w:eastAsia="仿宋" w:cs="仿宋"/>
          <w:sz w:val="27"/>
          <w:szCs w:val="27"/>
          <w:shd w:val="clear" w:fill="FFFFFF"/>
        </w:rPr>
        <w:t>0</w:t>
      </w:r>
      <w:r>
        <w:rPr>
          <w:rFonts w:hint="eastAsia" w:ascii="仿宋" w:hAnsi="宋体" w:eastAsia="仿宋" w:cs="仿宋"/>
          <w:sz w:val="27"/>
          <w:szCs w:val="27"/>
          <w:shd w:val="clear" w:fill="FFFFFF"/>
        </w:rPr>
        <w:t>万元。其中：</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仿宋" w:hAnsi="宋体" w:eastAsia="仿宋" w:cs="仿宋"/>
          <w:sz w:val="27"/>
          <w:szCs w:val="27"/>
          <w:shd w:val="clear" w:fill="FFFFFF"/>
        </w:rPr>
        <w:t>公务用车购置支出</w:t>
      </w:r>
      <w:r>
        <w:rPr>
          <w:rStyle w:val="5"/>
          <w:rFonts w:hint="eastAsia" w:ascii="仿宋" w:eastAsia="仿宋" w:cs="仿宋"/>
          <w:sz w:val="27"/>
          <w:szCs w:val="27"/>
          <w:shd w:val="clear" w:fill="FFFFFF"/>
        </w:rPr>
        <w:t>0</w:t>
      </w:r>
      <w:r>
        <w:rPr>
          <w:rFonts w:hint="eastAsia" w:ascii="仿宋" w:hAnsi="宋体" w:eastAsia="仿宋" w:cs="仿宋"/>
          <w:sz w:val="27"/>
          <w:szCs w:val="27"/>
          <w:shd w:val="clear" w:fill="FFFFFF"/>
        </w:rPr>
        <w:t>万元，全年购置公务用车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辆，主要用</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辆，年末公务用车保有量</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仿宋" w:hAnsi="宋体" w:eastAsia="仿宋" w:cs="仿宋"/>
          <w:sz w:val="27"/>
          <w:szCs w:val="27"/>
          <w:shd w:val="clear" w:fill="FFFFFF"/>
        </w:rPr>
        <w:t>公务用车运行维护费</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万元，主要用于无。</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b w:val="0"/>
          <w:bCs w:val="0"/>
          <w:sz w:val="27"/>
          <w:szCs w:val="27"/>
          <w:shd w:val="clear" w:fill="FFFFFF"/>
        </w:rPr>
        <w:t>公务用车购置及运行费支出决算</w:t>
      </w:r>
      <w:r>
        <w:rPr>
          <w:rFonts w:hint="eastAsia" w:ascii="仿宋" w:hAnsi="宋体" w:eastAsia="仿宋" w:cs="仿宋"/>
          <w:sz w:val="27"/>
          <w:szCs w:val="27"/>
          <w:shd w:val="clear" w:fill="FFFFFF"/>
        </w:rPr>
        <w:t>比预算数增加（减少）</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万元，增长（下降）</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。主要原因是无。</w:t>
      </w:r>
    </w:p>
    <w:p>
      <w:pPr>
        <w:pStyle w:val="2"/>
        <w:keepNext w:val="0"/>
        <w:keepLines w:val="0"/>
        <w:widowControl/>
        <w:suppressLineNumbers w:val="0"/>
        <w:spacing w:before="0" w:beforeAutospacing="0" w:after="0" w:afterAutospacing="0" w:line="15" w:lineRule="atLeast"/>
        <w:ind w:left="0" w:right="0"/>
      </w:pPr>
      <w:r>
        <w:rPr>
          <w:rStyle w:val="5"/>
          <w:rFonts w:hint="eastAsia" w:ascii="仿宋" w:eastAsia="仿宋" w:cs="仿宋"/>
          <w:sz w:val="27"/>
          <w:szCs w:val="27"/>
          <w:shd w:val="clear" w:fill="FFFFFF"/>
        </w:rPr>
        <w:t>3.</w:t>
      </w:r>
      <w:r>
        <w:rPr>
          <w:rStyle w:val="5"/>
          <w:rFonts w:hint="eastAsia" w:ascii="仿宋" w:hAnsi="宋体" w:eastAsia="仿宋" w:cs="仿宋"/>
          <w:sz w:val="27"/>
          <w:szCs w:val="27"/>
          <w:shd w:val="clear" w:fill="FFFFFF"/>
        </w:rPr>
        <w:t>公务接待费支出</w:t>
      </w:r>
      <w:r>
        <w:rPr>
          <w:rStyle w:val="5"/>
          <w:rFonts w:hint="eastAsia" w:ascii="仿宋" w:eastAsia="仿宋" w:cs="仿宋"/>
          <w:sz w:val="27"/>
          <w:szCs w:val="27"/>
          <w:shd w:val="clear" w:fill="FFFFFF"/>
        </w:rPr>
        <w:t>0</w:t>
      </w:r>
      <w:r>
        <w:rPr>
          <w:rFonts w:hint="eastAsia" w:ascii="仿宋" w:hAnsi="宋体" w:eastAsia="仿宋" w:cs="仿宋"/>
          <w:sz w:val="27"/>
          <w:szCs w:val="27"/>
          <w:shd w:val="clear" w:fill="FFFFFF"/>
        </w:rPr>
        <w:t>万元，其中：</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公务接待费支出决算比预算数增加（减少）0万元，增长（下降）0%。主要原因是无。</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仿宋" w:hAnsi="宋体" w:eastAsia="仿宋" w:cs="仿宋"/>
          <w:sz w:val="27"/>
          <w:szCs w:val="27"/>
          <w:shd w:val="clear" w:fill="FFFFFF"/>
        </w:rPr>
        <w:t>国内接待费</w:t>
      </w:r>
      <w:r>
        <w:rPr>
          <w:rFonts w:hint="eastAsia" w:ascii="仿宋" w:hAnsi="宋体" w:eastAsia="仿宋" w:cs="仿宋"/>
          <w:sz w:val="27"/>
          <w:szCs w:val="27"/>
          <w:shd w:val="clear" w:fill="FFFFFF"/>
        </w:rPr>
        <w:t>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万元，国内公务接待</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批次，接待</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人次；主要用于无。</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国（境）外接待费支出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万元，国（境）外公务接待</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批次，接待</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人次；主要用于无。</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（2019年度“三公”经费预算数、决算数可取自附件财决批复08表，出国团组数、出国人次，公务用车购置数、公务用车保有量，接待团组数、接待人次2019年的可取自部门决算报表F03《表机构运行信息表》。）</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sz w:val="27"/>
          <w:szCs w:val="27"/>
          <w:shd w:val="clear" w:fill="FFFFFF"/>
        </w:rPr>
        <w:t>九、</w:t>
      </w:r>
      <w:r>
        <w:rPr>
          <w:rFonts w:hint="eastAsia" w:ascii="黑体" w:hAnsi="宋体" w:eastAsia="黑体" w:cs="黑体"/>
          <w:b w:val="0"/>
          <w:bCs w:val="0"/>
          <w:sz w:val="27"/>
          <w:szCs w:val="27"/>
          <w:shd w:val="clear" w:fill="FFFFFF"/>
        </w:rPr>
        <w:t>政府性基金预算财政拨款“三公”经费支出决算情况说明</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年度政府性基金预算财政拨款“三公”经费支出合计</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万元。其中：因公出国（境）费支出决算</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；公务用车购置及运行费支出决算</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；公务接待费支出决算</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firstLine="634"/>
      </w:pPr>
      <w:r>
        <w:rPr>
          <w:rFonts w:hint="eastAsia" w:ascii="仿宋" w:hAnsi="宋体" w:eastAsia="仿宋" w:cs="仿宋"/>
          <w:sz w:val="27"/>
          <w:szCs w:val="27"/>
          <w:shd w:val="clear" w:fill="FFFFFF"/>
        </w:rPr>
        <w:t>（本部分决算公开数字取自财决批复</w:t>
      </w:r>
      <w:r>
        <w:rPr>
          <w:rFonts w:hint="eastAsia" w:ascii="仿宋" w:eastAsia="仿宋" w:cs="仿宋"/>
          <w:sz w:val="27"/>
          <w:szCs w:val="27"/>
          <w:shd w:val="clear" w:fill="FFFFFF"/>
        </w:rPr>
        <w:t>09</w:t>
      </w:r>
      <w:r>
        <w:rPr>
          <w:rFonts w:hint="eastAsia" w:ascii="仿宋" w:hAnsi="宋体" w:eastAsia="仿宋" w:cs="仿宋"/>
          <w:sz w:val="27"/>
          <w:szCs w:val="27"/>
          <w:shd w:val="clear" w:fill="FFFFFF"/>
        </w:rPr>
        <w:t>表）</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十、预算绩效情况说明。</w:t>
      </w:r>
    </w:p>
    <w:p>
      <w:pPr>
        <w:pStyle w:val="2"/>
        <w:keepNext w:val="0"/>
        <w:keepLines w:val="0"/>
        <w:widowControl/>
        <w:suppressLineNumbers w:val="0"/>
        <w:spacing w:before="0" w:beforeAutospacing="0" w:after="0" w:afterAutospacing="0" w:line="576" w:lineRule="atLeast"/>
        <w:ind w:left="0" w:right="0" w:firstLine="648"/>
      </w:pPr>
      <w:r>
        <w:rPr>
          <w:rStyle w:val="5"/>
          <w:rFonts w:hint="eastAsia" w:ascii="楷体" w:hAnsi="楷体" w:eastAsia="楷体" w:cs="楷体"/>
          <w:sz w:val="27"/>
          <w:szCs w:val="27"/>
          <w:shd w:val="clear" w:fill="FFFFFF"/>
        </w:rPr>
        <w:t>（一）绩效管理工作开展情况。</w:t>
      </w:r>
    </w:p>
    <w:p>
      <w:pPr>
        <w:keepNext w:val="0"/>
        <w:keepLines w:val="0"/>
        <w:widowControl/>
        <w:suppressLineNumbers w:val="0"/>
        <w:snapToGrid w:val="0"/>
        <w:spacing w:before="0" w:beforeAutospacing="0" w:after="100" w:afterAutospacing="1" w:line="578" w:lineRule="exact"/>
        <w:ind w:left="0" w:right="0" w:firstLine="640" w:firstLineChars="200"/>
        <w:jc w:val="left"/>
        <w:rPr>
          <w:rFonts w:hint="default" w:ascii="仿宋_GB2312" w:hAnsi="宋体" w:eastAsia="仿宋_GB2312" w:cs="仿宋_GB2312"/>
          <w:kern w:val="0"/>
          <w:sz w:val="32"/>
          <w:szCs w:val="32"/>
          <w:shd w:val="clear" w:color="auto" w:fill="FFFFFF"/>
        </w:rPr>
      </w:pPr>
      <w:r>
        <w:rPr>
          <w:rFonts w:hint="default" w:ascii="仿宋_GB2312" w:hAnsi="宋体" w:eastAsia="仿宋_GB2312" w:cs="仿宋_GB2312"/>
          <w:kern w:val="0"/>
          <w:sz w:val="32"/>
          <w:szCs w:val="32"/>
          <w:shd w:val="clear" w:color="auto" w:fill="FFFFFF"/>
        </w:rPr>
        <w:t>本单位20</w:t>
      </w:r>
      <w:r>
        <w:rPr>
          <w:rFonts w:hint="eastAsia" w:ascii="仿宋_GB2312" w:eastAsia="仿宋_GB2312" w:cs="仿宋_GB2312"/>
          <w:kern w:val="0"/>
          <w:sz w:val="32"/>
          <w:szCs w:val="32"/>
          <w:shd w:val="clear" w:color="auto" w:fill="FFFFFF"/>
          <w:lang w:val="en-US" w:eastAsia="zh-CN"/>
        </w:rPr>
        <w:t>18</w:t>
      </w:r>
      <w:r>
        <w:rPr>
          <w:rFonts w:hint="default" w:ascii="仿宋_GB2312" w:hAnsi="宋体" w:eastAsia="仿宋_GB2312" w:cs="仿宋_GB2312"/>
          <w:kern w:val="0"/>
          <w:sz w:val="32"/>
          <w:szCs w:val="32"/>
          <w:shd w:val="clear" w:color="auto" w:fill="FFFFFF"/>
        </w:rPr>
        <w:t>年没有预算项目，故未开展项目绩效自评。</w:t>
      </w:r>
    </w:p>
    <w:p>
      <w:pPr>
        <w:pStyle w:val="2"/>
        <w:keepNext w:val="0"/>
        <w:keepLines w:val="0"/>
        <w:widowControl/>
        <w:suppressLineNumbers w:val="0"/>
        <w:spacing w:before="0" w:beforeAutospacing="0" w:after="0" w:afterAutospacing="0" w:line="576" w:lineRule="atLeast"/>
        <w:ind w:left="0" w:right="0" w:firstLine="648"/>
      </w:pPr>
      <w:r>
        <w:rPr>
          <w:rStyle w:val="5"/>
          <w:rFonts w:hint="eastAsia" w:ascii="楷体" w:hAnsi="楷体" w:eastAsia="楷体" w:cs="楷体"/>
          <w:sz w:val="27"/>
          <w:szCs w:val="27"/>
          <w:shd w:val="clear" w:fill="FFFFFF"/>
        </w:rPr>
        <w:t>（二）部门决算中项目绩效自评结果。</w:t>
      </w:r>
    </w:p>
    <w:p>
      <w:pPr>
        <w:keepNext w:val="0"/>
        <w:keepLines w:val="0"/>
        <w:widowControl/>
        <w:suppressLineNumbers w:val="0"/>
        <w:snapToGrid w:val="0"/>
        <w:spacing w:before="0" w:beforeAutospacing="0" w:after="100" w:afterAutospacing="1" w:line="578" w:lineRule="exact"/>
        <w:ind w:left="0" w:right="0" w:firstLine="640" w:firstLineChars="200"/>
        <w:jc w:val="left"/>
        <w:rPr>
          <w:rFonts w:hint="default" w:ascii="仿宋_GB2312" w:hAnsi="宋体" w:eastAsia="仿宋_GB2312" w:cs="仿宋_GB2312"/>
          <w:kern w:val="0"/>
          <w:sz w:val="32"/>
          <w:szCs w:val="32"/>
          <w:shd w:val="clear" w:color="auto" w:fill="FFFFFF"/>
        </w:rPr>
      </w:pPr>
      <w:r>
        <w:rPr>
          <w:rFonts w:hint="default" w:ascii="仿宋_GB2312" w:hAnsi="宋体" w:eastAsia="仿宋_GB2312" w:cs="仿宋_GB2312"/>
          <w:kern w:val="0"/>
          <w:sz w:val="32"/>
          <w:szCs w:val="32"/>
          <w:shd w:val="clear" w:color="auto" w:fill="FFFFFF"/>
        </w:rPr>
        <w:t>本单位20</w:t>
      </w:r>
      <w:r>
        <w:rPr>
          <w:rFonts w:hint="eastAsia" w:ascii="仿宋_GB2312" w:eastAsia="仿宋_GB2312" w:cs="仿宋_GB2312"/>
          <w:kern w:val="0"/>
          <w:sz w:val="32"/>
          <w:szCs w:val="32"/>
          <w:shd w:val="clear" w:color="auto" w:fill="FFFFFF"/>
          <w:lang w:val="en-US" w:eastAsia="zh-CN"/>
        </w:rPr>
        <w:t>18</w:t>
      </w:r>
      <w:r>
        <w:rPr>
          <w:rFonts w:hint="default" w:ascii="仿宋_GB2312" w:hAnsi="宋体" w:eastAsia="仿宋_GB2312" w:cs="仿宋_GB2312"/>
          <w:kern w:val="0"/>
          <w:sz w:val="32"/>
          <w:szCs w:val="32"/>
          <w:shd w:val="clear" w:color="auto" w:fill="FFFFFF"/>
        </w:rPr>
        <w:t>年没有预算项目，故未开展项目绩效自评。</w:t>
      </w:r>
    </w:p>
    <w:p>
      <w:pPr>
        <w:pStyle w:val="2"/>
        <w:keepNext w:val="0"/>
        <w:keepLines w:val="0"/>
        <w:widowControl/>
        <w:numPr>
          <w:ilvl w:val="0"/>
          <w:numId w:val="1"/>
        </w:numPr>
        <w:suppressLineNumbers w:val="0"/>
        <w:spacing w:before="0" w:beforeAutospacing="0" w:after="0" w:afterAutospacing="0" w:line="576" w:lineRule="atLeast"/>
        <w:ind w:left="0" w:leftChars="0" w:right="0" w:firstLine="634" w:firstLineChars="0"/>
        <w:rPr>
          <w:rStyle w:val="5"/>
          <w:rFonts w:hint="eastAsia" w:ascii="楷体" w:hAnsi="楷体" w:eastAsia="楷体" w:cs="楷体"/>
          <w:sz w:val="27"/>
          <w:szCs w:val="27"/>
          <w:shd w:val="clear" w:fill="FFFFFF"/>
        </w:rPr>
      </w:pPr>
      <w:bookmarkStart w:id="17" w:name="_GoBack"/>
      <w:bookmarkEnd w:id="17"/>
      <w:r>
        <w:rPr>
          <w:rStyle w:val="5"/>
          <w:rFonts w:hint="eastAsia" w:ascii="楷体" w:hAnsi="楷体" w:eastAsia="楷体" w:cs="楷体"/>
          <w:sz w:val="27"/>
          <w:szCs w:val="27"/>
          <w:shd w:val="clear" w:fill="FFFFFF"/>
        </w:rPr>
        <w:t>重点项目绩效评价情况（如有）。</w:t>
      </w:r>
    </w:p>
    <w:p>
      <w:pPr>
        <w:pStyle w:val="2"/>
        <w:keepNext w:val="0"/>
        <w:keepLines w:val="0"/>
        <w:widowControl/>
        <w:numPr>
          <w:ilvl w:val="0"/>
          <w:numId w:val="0"/>
        </w:numPr>
        <w:suppressLineNumbers w:val="0"/>
        <w:spacing w:before="0" w:beforeAutospacing="0" w:after="0" w:afterAutospacing="0" w:line="576" w:lineRule="atLeast"/>
        <w:ind w:left="634" w:leftChars="0" w:right="0" w:rightChars="0"/>
        <w:rPr>
          <w:rStyle w:val="5"/>
          <w:rFonts w:hint="default" w:ascii="楷体" w:hAnsi="楷体" w:eastAsia="楷体" w:cs="楷体"/>
          <w:sz w:val="27"/>
          <w:szCs w:val="27"/>
          <w:shd w:val="clear" w:fill="FFFFFF"/>
          <w:lang w:val="en-US" w:eastAsia="zh-CN"/>
        </w:rPr>
      </w:pPr>
      <w:r>
        <w:rPr>
          <w:rStyle w:val="5"/>
          <w:rFonts w:hint="eastAsia" w:ascii="楷体" w:hAnsi="楷体" w:eastAsia="楷体" w:cs="楷体"/>
          <w:sz w:val="27"/>
          <w:szCs w:val="27"/>
          <w:shd w:val="clear" w:fill="FFFFFF"/>
          <w:lang w:val="en-US" w:eastAsia="zh-CN"/>
        </w:rPr>
        <w:t>无</w:t>
      </w:r>
    </w:p>
    <w:p>
      <w:pPr>
        <w:pStyle w:val="2"/>
        <w:keepNext w:val="0"/>
        <w:keepLines w:val="0"/>
        <w:widowControl/>
        <w:numPr>
          <w:ilvl w:val="0"/>
          <w:numId w:val="1"/>
        </w:numPr>
        <w:suppressLineNumbers w:val="0"/>
        <w:spacing w:before="0" w:beforeAutospacing="0" w:after="0" w:afterAutospacing="0" w:line="576" w:lineRule="atLeast"/>
        <w:ind w:left="0" w:leftChars="0" w:right="0" w:firstLine="634" w:firstLineChars="0"/>
        <w:rPr>
          <w:rStyle w:val="5"/>
          <w:rFonts w:hint="eastAsia" w:ascii="楷体" w:hAnsi="楷体" w:eastAsia="楷体" w:cs="楷体"/>
          <w:sz w:val="27"/>
          <w:szCs w:val="27"/>
          <w:shd w:val="clear" w:fill="FFFFFF"/>
        </w:rPr>
      </w:pPr>
      <w:r>
        <w:rPr>
          <w:rStyle w:val="5"/>
          <w:rFonts w:hint="eastAsia" w:ascii="楷体" w:hAnsi="楷体" w:eastAsia="楷体" w:cs="楷体"/>
          <w:sz w:val="27"/>
          <w:szCs w:val="27"/>
          <w:shd w:val="clear" w:fill="FFFFFF"/>
        </w:rPr>
        <w:t>其他以部门为主体开展的项目绩效评价报告（如有）。</w:t>
      </w:r>
    </w:p>
    <w:p>
      <w:pPr>
        <w:pStyle w:val="2"/>
        <w:keepNext w:val="0"/>
        <w:keepLines w:val="0"/>
        <w:widowControl/>
        <w:numPr>
          <w:ilvl w:val="0"/>
          <w:numId w:val="0"/>
        </w:numPr>
        <w:suppressLineNumbers w:val="0"/>
        <w:spacing w:before="0" w:beforeAutospacing="0" w:after="0" w:afterAutospacing="0" w:line="576" w:lineRule="atLeast"/>
        <w:ind w:left="634" w:leftChars="0" w:right="0" w:rightChars="0"/>
        <w:rPr>
          <w:rStyle w:val="5"/>
          <w:rFonts w:hint="eastAsia" w:ascii="楷体" w:hAnsi="楷体" w:eastAsia="楷体" w:cs="楷体"/>
          <w:sz w:val="27"/>
          <w:szCs w:val="27"/>
          <w:shd w:val="clear" w:fill="FFFFFF"/>
        </w:rPr>
      </w:pPr>
      <w:r>
        <w:rPr>
          <w:rStyle w:val="5"/>
          <w:rFonts w:hint="eastAsia" w:ascii="楷体" w:hAnsi="楷体" w:eastAsia="楷体" w:cs="楷体"/>
          <w:sz w:val="27"/>
          <w:szCs w:val="27"/>
          <w:shd w:val="clear" w:fill="FFFFFF"/>
          <w:lang w:val="en-US" w:eastAsia="zh-CN"/>
        </w:rPr>
        <w:t>无</w:t>
      </w:r>
    </w:p>
    <w:p>
      <w:pPr>
        <w:pStyle w:val="2"/>
        <w:keepNext w:val="0"/>
        <w:keepLines w:val="0"/>
        <w:widowControl/>
        <w:suppressLineNumbers w:val="0"/>
        <w:spacing w:before="0" w:beforeAutospacing="0" w:after="0" w:afterAutospacing="0" w:line="15" w:lineRule="atLeast"/>
        <w:ind w:left="0" w:right="0" w:firstLine="634"/>
      </w:pPr>
      <w:r>
        <w:rPr>
          <w:rFonts w:hint="eastAsia" w:ascii="黑体" w:hAnsi="宋体" w:eastAsia="黑体" w:cs="黑体"/>
          <w:b w:val="0"/>
          <w:bCs w:val="0"/>
          <w:sz w:val="27"/>
          <w:szCs w:val="27"/>
          <w:shd w:val="clear" w:fill="FFFFFF"/>
        </w:rPr>
        <w:t>十一、其他重要事项情况说明。</w:t>
      </w:r>
    </w:p>
    <w:p>
      <w:pPr>
        <w:pStyle w:val="2"/>
        <w:keepNext w:val="0"/>
        <w:keepLines w:val="0"/>
        <w:widowControl/>
        <w:suppressLineNumbers w:val="0"/>
        <w:spacing w:before="0" w:beforeAutospacing="0" w:after="0" w:afterAutospacing="0" w:line="15" w:lineRule="atLeast"/>
        <w:ind w:left="0" w:right="0" w:firstLine="648"/>
      </w:pPr>
      <w:bookmarkStart w:id="15" w:name="__RefHeading___Toc5978_WPSOffice_Level2"/>
      <w:bookmarkEnd w:id="15"/>
      <w:r>
        <w:rPr>
          <w:rStyle w:val="5"/>
          <w:rFonts w:hint="eastAsia" w:ascii="楷体" w:hAnsi="楷体" w:eastAsia="楷体" w:cs="楷体"/>
          <w:sz w:val="27"/>
          <w:szCs w:val="27"/>
          <w:shd w:val="clear" w:fill="FFFFFF"/>
        </w:rPr>
        <w:t>（一）机关运行经费支出情况。</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年度临高县皇桐中心幼儿园（单位）机关运行经费</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万元（为部门决算中行政单位和参公事业单位使用一般公共预算财政拨款安排的基本支出中的日常公用经费支出，事业单位没有机关运行经费支出），比年初预算增加（减少）</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万元，增长（降低）</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。主要原因是：……（具体增减原因由部门根据实际情况填列）。</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机关运行经费预算数字可取自部门决算报表财决01-1表《财政拨款收入支出决算总表》[58,14]单元格，即年初预算数-一般公共预算财政拨款-日常公用经费，注意因为是部门汇总公开决算，而事业单位没有机关运行经费支出，故部门汇总的机关运行经费预算数应为部门所属的各行政单位或参公单位的汇总数；决算数字可取自2019年度部门决算报表F03表《机关运行信息表》“机关运行经费”栏。）</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楷体" w:hAnsi="楷体" w:eastAsia="楷体" w:cs="楷体"/>
          <w:sz w:val="27"/>
          <w:szCs w:val="27"/>
          <w:shd w:val="clear" w:fill="FFFFFF"/>
        </w:rPr>
        <w:t>（二）政府采购支出情况。</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年度临高县皇桐中心幼儿园（单位）政府采购支出总额</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万元，其中：政府采购货物支出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万元、政府采购工程支出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万元、政府采购服务支出</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万元。授予中小企业合同金额</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万元，占政府采购支出总额的</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，其中：授予小微企业合同金额</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万元，占政府采购支出总额的</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（上述政府采购支出相关数字取自2019年度部门决算报表F03表《机关运行信息表》，授予中小企业和小微企业合同金额由各部门查阅本部门相关财务资料填写。）</w:t>
      </w:r>
    </w:p>
    <w:p>
      <w:pPr>
        <w:pStyle w:val="2"/>
        <w:keepNext w:val="0"/>
        <w:keepLines w:val="0"/>
        <w:widowControl/>
        <w:suppressLineNumbers w:val="0"/>
        <w:spacing w:before="0" w:beforeAutospacing="0" w:after="0" w:afterAutospacing="0" w:line="15" w:lineRule="atLeast"/>
        <w:ind w:left="0" w:right="0" w:firstLine="648"/>
      </w:pPr>
      <w:r>
        <w:rPr>
          <w:rStyle w:val="5"/>
          <w:rFonts w:hint="eastAsia" w:ascii="楷体" w:hAnsi="楷体" w:eastAsia="楷体" w:cs="楷体"/>
          <w:sz w:val="27"/>
          <w:szCs w:val="27"/>
          <w:shd w:val="clear" w:fill="FFFFFF"/>
        </w:rPr>
        <w:t>（三）国有资产占用情况。</w:t>
      </w:r>
    </w:p>
    <w:p>
      <w:pPr>
        <w:pStyle w:val="2"/>
        <w:keepNext w:val="0"/>
        <w:keepLines w:val="0"/>
        <w:widowControl/>
        <w:suppressLineNumbers w:val="0"/>
        <w:spacing w:before="0" w:beforeAutospacing="0" w:after="0" w:afterAutospacing="0" w:line="576" w:lineRule="atLeast"/>
        <w:ind w:left="0" w:right="0" w:firstLine="634"/>
      </w:pPr>
      <w:r>
        <w:rPr>
          <w:rFonts w:hint="eastAsia" w:ascii="仿宋" w:hAnsi="宋体" w:eastAsia="仿宋" w:cs="仿宋"/>
          <w:sz w:val="27"/>
          <w:szCs w:val="27"/>
          <w:shd w:val="clear" w:fill="FFFFFF"/>
        </w:rPr>
        <w:t>截至</w:t>
      </w:r>
      <w:r>
        <w:rPr>
          <w:rFonts w:hint="eastAsia" w:ascii="仿宋" w:eastAsia="仿宋" w:cs="仿宋"/>
          <w:sz w:val="27"/>
          <w:szCs w:val="27"/>
          <w:shd w:val="clear" w:fill="FFFFFF"/>
        </w:rPr>
        <w:t>2019</w:t>
      </w:r>
      <w:r>
        <w:rPr>
          <w:rFonts w:hint="eastAsia" w:ascii="仿宋" w:hAnsi="宋体" w:eastAsia="仿宋" w:cs="仿宋"/>
          <w:sz w:val="27"/>
          <w:szCs w:val="27"/>
          <w:shd w:val="clear" w:fill="FFFFFF"/>
        </w:rPr>
        <w:t>年度</w:t>
      </w:r>
      <w:r>
        <w:rPr>
          <w:rFonts w:hint="eastAsia" w:ascii="仿宋" w:eastAsia="仿宋" w:cs="仿宋"/>
          <w:sz w:val="27"/>
          <w:szCs w:val="27"/>
          <w:shd w:val="clear" w:fill="FFFFFF"/>
        </w:rPr>
        <w:t>12</w:t>
      </w:r>
      <w:r>
        <w:rPr>
          <w:rFonts w:hint="eastAsia" w:ascii="仿宋" w:hAnsi="宋体" w:eastAsia="仿宋" w:cs="仿宋"/>
          <w:sz w:val="27"/>
          <w:szCs w:val="27"/>
          <w:shd w:val="clear" w:fill="FFFFFF"/>
        </w:rPr>
        <w:t>月</w:t>
      </w:r>
      <w:r>
        <w:rPr>
          <w:rFonts w:hint="eastAsia" w:ascii="仿宋" w:eastAsia="仿宋" w:cs="仿宋"/>
          <w:sz w:val="27"/>
          <w:szCs w:val="27"/>
          <w:shd w:val="clear" w:fill="FFFFFF"/>
        </w:rPr>
        <w:t>31</w:t>
      </w:r>
      <w:r>
        <w:rPr>
          <w:rFonts w:hint="eastAsia" w:ascii="仿宋" w:hAnsi="宋体" w:eastAsia="仿宋" w:cs="仿宋"/>
          <w:sz w:val="27"/>
          <w:szCs w:val="27"/>
          <w:shd w:val="clear" w:fill="FFFFFF"/>
        </w:rPr>
        <w:t>日，本部门占用房屋面积</w:t>
      </w:r>
      <w:r>
        <w:rPr>
          <w:rFonts w:hint="eastAsia" w:ascii="仿宋" w:eastAsia="仿宋" w:cs="仿宋"/>
          <w:sz w:val="27"/>
          <w:szCs w:val="27"/>
          <w:shd w:val="clear" w:fill="FFFFFF"/>
        </w:rPr>
        <w:t>2733.5</w:t>
      </w:r>
      <w:r>
        <w:rPr>
          <w:rFonts w:hint="eastAsia" w:ascii="仿宋" w:hAnsi="宋体" w:eastAsia="仿宋" w:cs="仿宋"/>
          <w:sz w:val="27"/>
          <w:szCs w:val="27"/>
          <w:shd w:val="clear" w:fill="FFFFFF"/>
        </w:rPr>
        <w:t>平方米，其中：办公用房</w:t>
      </w:r>
      <w:r>
        <w:rPr>
          <w:rFonts w:hint="eastAsia" w:ascii="仿宋" w:eastAsia="仿宋" w:cs="仿宋"/>
          <w:sz w:val="27"/>
          <w:szCs w:val="27"/>
          <w:shd w:val="clear" w:fill="FFFFFF"/>
        </w:rPr>
        <w:t>854.5</w:t>
      </w:r>
      <w:r>
        <w:rPr>
          <w:rFonts w:hint="eastAsia" w:ascii="仿宋" w:hAnsi="宋体" w:eastAsia="仿宋" w:cs="仿宋"/>
          <w:sz w:val="27"/>
          <w:szCs w:val="27"/>
          <w:shd w:val="clear" w:fill="FFFFFF"/>
        </w:rPr>
        <w:t>平方米，业务用房</w:t>
      </w:r>
      <w:r>
        <w:rPr>
          <w:rFonts w:hint="eastAsia" w:ascii="仿宋" w:eastAsia="仿宋" w:cs="仿宋"/>
          <w:sz w:val="27"/>
          <w:szCs w:val="27"/>
          <w:shd w:val="clear" w:fill="FFFFFF"/>
        </w:rPr>
        <w:t>1879</w:t>
      </w:r>
      <w:r>
        <w:rPr>
          <w:rFonts w:hint="eastAsia" w:ascii="仿宋" w:hAnsi="宋体" w:eastAsia="仿宋" w:cs="仿宋"/>
          <w:sz w:val="27"/>
          <w:szCs w:val="27"/>
          <w:shd w:val="clear" w:fill="FFFFFF"/>
        </w:rPr>
        <w:t>平方米，其他（不含构筑物）</w:t>
      </w:r>
      <w:r>
        <w:rPr>
          <w:rFonts w:hint="eastAsia" w:ascii="仿宋" w:eastAsia="仿宋" w:cs="仿宋"/>
          <w:sz w:val="27"/>
          <w:szCs w:val="27"/>
          <w:shd w:val="clear" w:fill="FFFFFF"/>
        </w:rPr>
        <w:t>725</w:t>
      </w:r>
      <w:r>
        <w:rPr>
          <w:rFonts w:hint="eastAsia" w:ascii="仿宋" w:hAnsi="宋体" w:eastAsia="仿宋" w:cs="仿宋"/>
          <w:sz w:val="27"/>
          <w:szCs w:val="27"/>
          <w:shd w:val="clear" w:fill="FFFFFF"/>
        </w:rPr>
        <w:t>平方米。</w:t>
      </w:r>
    </w:p>
    <w:p>
      <w:pPr>
        <w:pStyle w:val="2"/>
        <w:keepNext w:val="0"/>
        <w:keepLines w:val="0"/>
        <w:widowControl/>
        <w:suppressLineNumbers w:val="0"/>
        <w:spacing w:before="0" w:beforeAutospacing="0" w:after="0" w:afterAutospacing="0" w:line="576" w:lineRule="atLeast"/>
        <w:ind w:left="0" w:right="0" w:firstLine="634"/>
      </w:pPr>
      <w:r>
        <w:rPr>
          <w:rFonts w:hint="eastAsia" w:ascii="仿宋" w:hAnsi="宋体" w:eastAsia="仿宋" w:cs="仿宋"/>
          <w:sz w:val="27"/>
          <w:szCs w:val="27"/>
          <w:shd w:val="clear" w:fill="FFFFFF"/>
        </w:rPr>
        <w:t>本部门共有车辆</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辆，其中：从车辆种类说明：轿车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辆、越野车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辆、小型载客汽车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辆、大中型载客汽车辆、其他用车辆，其他用车主要是无；从车辆使用情况说明：副部（省）级及以上领导用车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辆、主要领导干部用车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辆、机要通信用车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辆、应急保障用车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辆、执法执勤用车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辆、特种专业技术用车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辆、离退休干部用车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辆、其他用车</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辆。</w:t>
      </w:r>
    </w:p>
    <w:p>
      <w:pPr>
        <w:pStyle w:val="2"/>
        <w:keepNext w:val="0"/>
        <w:keepLines w:val="0"/>
        <w:widowControl/>
        <w:suppressLineNumbers w:val="0"/>
        <w:spacing w:before="0" w:beforeAutospacing="0" w:after="0" w:afterAutospacing="0" w:line="576" w:lineRule="atLeast"/>
        <w:ind w:left="0" w:right="0" w:firstLine="634"/>
      </w:pPr>
      <w:r>
        <w:rPr>
          <w:rFonts w:hint="eastAsia" w:ascii="仿宋" w:hAnsi="宋体" w:eastAsia="仿宋" w:cs="仿宋"/>
          <w:sz w:val="27"/>
          <w:szCs w:val="27"/>
          <w:shd w:val="clear" w:fill="FFFFFF"/>
        </w:rPr>
        <w:t>单位价值</w:t>
      </w:r>
      <w:r>
        <w:rPr>
          <w:rFonts w:hint="eastAsia" w:ascii="仿宋" w:eastAsia="仿宋" w:cs="仿宋"/>
          <w:sz w:val="27"/>
          <w:szCs w:val="27"/>
          <w:shd w:val="clear" w:fill="FFFFFF"/>
        </w:rPr>
        <w:t>50</w:t>
      </w:r>
      <w:r>
        <w:rPr>
          <w:rFonts w:hint="eastAsia" w:ascii="仿宋" w:hAnsi="宋体" w:eastAsia="仿宋" w:cs="仿宋"/>
          <w:sz w:val="27"/>
          <w:szCs w:val="27"/>
          <w:shd w:val="clear" w:fill="FFFFFF"/>
        </w:rPr>
        <w:t>万元（含）以上通用设备台</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（套），单价</w:t>
      </w:r>
      <w:r>
        <w:rPr>
          <w:rFonts w:hint="eastAsia" w:ascii="仿宋" w:eastAsia="仿宋" w:cs="仿宋"/>
          <w:sz w:val="27"/>
          <w:szCs w:val="27"/>
          <w:shd w:val="clear" w:fill="FFFFFF"/>
        </w:rPr>
        <w:t>100</w:t>
      </w:r>
      <w:r>
        <w:rPr>
          <w:rFonts w:hint="eastAsia" w:ascii="仿宋" w:hAnsi="宋体" w:eastAsia="仿宋" w:cs="仿宋"/>
          <w:sz w:val="27"/>
          <w:szCs w:val="27"/>
          <w:shd w:val="clear" w:fill="FFFFFF"/>
        </w:rPr>
        <w:t>万元（含）以上专用设备</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台（套）。</w:t>
      </w:r>
    </w:p>
    <w:p>
      <w:pPr>
        <w:pStyle w:val="2"/>
        <w:keepNext w:val="0"/>
        <w:keepLines w:val="0"/>
        <w:widowControl/>
        <w:suppressLineNumbers w:val="0"/>
        <w:spacing w:before="0" w:beforeAutospacing="0" w:after="0" w:afterAutospacing="0" w:line="576" w:lineRule="atLeast"/>
        <w:ind w:left="0" w:right="0" w:firstLine="634"/>
      </w:pPr>
      <w:r>
        <w:rPr>
          <w:rFonts w:hint="eastAsia" w:ascii="仿宋" w:hAnsi="宋体" w:eastAsia="仿宋" w:cs="仿宋"/>
          <w:sz w:val="27"/>
          <w:szCs w:val="27"/>
          <w:shd w:val="clear" w:fill="FFFFFF"/>
        </w:rPr>
        <w:t>年末在建工程</w:t>
      </w:r>
      <w:r>
        <w:rPr>
          <w:rFonts w:hint="eastAsia" w:ascii="仿宋" w:eastAsia="仿宋" w:cs="仿宋"/>
          <w:sz w:val="27"/>
          <w:szCs w:val="27"/>
          <w:shd w:val="clear" w:fill="FFFFFF"/>
        </w:rPr>
        <w:t>0</w:t>
      </w:r>
      <w:r>
        <w:rPr>
          <w:rFonts w:hint="eastAsia" w:ascii="仿宋" w:hAnsi="宋体" w:eastAsia="仿宋" w:cs="仿宋"/>
          <w:sz w:val="27"/>
          <w:szCs w:val="27"/>
          <w:shd w:val="clear" w:fill="FFFFFF"/>
        </w:rPr>
        <w:t>万元。</w:t>
      </w:r>
    </w:p>
    <w:p>
      <w:pPr>
        <w:pStyle w:val="2"/>
        <w:keepNext w:val="0"/>
        <w:keepLines w:val="0"/>
        <w:widowControl/>
        <w:suppressLineNumbers w:val="0"/>
        <w:spacing w:before="0" w:beforeAutospacing="0" w:after="0" w:afterAutospacing="0" w:line="576" w:lineRule="atLeast"/>
        <w:ind w:left="0" w:right="0" w:firstLine="634"/>
      </w:pPr>
      <w:r>
        <w:rPr>
          <w:rFonts w:hint="eastAsia" w:ascii="仿宋" w:eastAsia="仿宋" w:cs="仿宋"/>
          <w:sz w:val="27"/>
          <w:szCs w:val="27"/>
          <w:shd w:val="clear" w:fill="FFFFFF"/>
        </w:rPr>
        <w:t>（上述国有资产占用情况相关数字取自2019年度部门决算F01表《预算支出相关信息表》、F03表《机关运行信息表》。）</w:t>
      </w:r>
    </w:p>
    <w:p>
      <w:pPr>
        <w:pStyle w:val="2"/>
        <w:keepNext w:val="0"/>
        <w:keepLines w:val="0"/>
        <w:widowControl/>
        <w:suppressLineNumbers w:val="0"/>
        <w:spacing w:before="0" w:beforeAutospacing="0" w:after="0" w:afterAutospacing="0" w:line="576" w:lineRule="atLeast"/>
        <w:ind w:left="0" w:right="0" w:firstLine="634"/>
      </w:pPr>
    </w:p>
    <w:p>
      <w:pPr>
        <w:pStyle w:val="2"/>
        <w:keepNext w:val="0"/>
        <w:keepLines w:val="0"/>
        <w:widowControl/>
        <w:suppressLineNumbers w:val="0"/>
        <w:spacing w:before="0" w:beforeAutospacing="0" w:after="0" w:afterAutospacing="0" w:line="576" w:lineRule="atLeast"/>
        <w:ind w:left="0" w:right="0" w:firstLine="634"/>
      </w:pPr>
    </w:p>
    <w:p>
      <w:pPr>
        <w:pStyle w:val="2"/>
        <w:keepNext w:val="0"/>
        <w:keepLines w:val="0"/>
        <w:widowControl/>
        <w:suppressLineNumbers w:val="0"/>
        <w:spacing w:before="0" w:beforeAutospacing="0" w:after="0" w:afterAutospacing="0" w:line="15" w:lineRule="atLeast"/>
        <w:ind w:left="0" w:right="0"/>
        <w:jc w:val="center"/>
      </w:pPr>
      <w:bookmarkStart w:id="16" w:name="__RefHeading___Toc15425_WPSOffice_Level1"/>
      <w:bookmarkEnd w:id="16"/>
      <w:r>
        <w:rPr>
          <w:rFonts w:hint="eastAsia" w:ascii="黑体" w:hAnsi="宋体" w:eastAsia="黑体" w:cs="黑体"/>
          <w:sz w:val="27"/>
          <w:szCs w:val="27"/>
          <w:shd w:val="clear" w:fill="FFFFFF"/>
        </w:rPr>
        <w:t>第四部分 名词解释</w:t>
      </w:r>
    </w:p>
    <w:p>
      <w:pPr>
        <w:pStyle w:val="2"/>
        <w:keepNext w:val="0"/>
        <w:keepLines w:val="0"/>
        <w:widowControl/>
        <w:suppressLineNumbers w:val="0"/>
        <w:spacing w:before="0" w:beforeAutospacing="0" w:after="0" w:afterAutospacing="0" w:line="15" w:lineRule="atLeast"/>
        <w:ind w:left="0" w:right="0" w:firstLine="634"/>
      </w:pP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（一）财政拨款收入：指本级财政当年拨付的资金。</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（二）事业收入：指事业单位开展专业业务活动及辅助活动取得的收入。</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（三）经营收入：指事业单位在专业业务活动及其辅助活动之外开展非独立核算经营活动取得的收入。</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（四）其他收入：指除上述“财政拨款收入”“事业收入”“经营收入”等以外的收入。</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（六）年初结转和结余：指以前年度尚未完成、结转到本年按有关规定继续使用的资金。</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（七）结余分配：指事业单位按规定提取的职工福利基金、事业基金和缴纳的所得税，以及建设单位按规定应交回的基本建设竣工项目结余资金。</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（八）年末结转和结余：指本年度或以前年度预算安排、因客观条件发生变化无法按原计划实施，需要延迟到以后年度按有关规定继续使用的资金。</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（九）基本支出：指为保障机构正常运转、完成日常工作任务而发生的人员支出和公用支出。</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（十）项目支出：指在基本支出之外为完成特定行政任务和事业发展目标所发生的支出。</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（十一）经营支出：指事业单位在专业业务活动及其辅助活动之外开展非独立核算经营活动发生的支出。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15" w:lineRule="atLeast"/>
        <w:ind w:left="0" w:right="0" w:firstLine="634"/>
      </w:pPr>
      <w:r>
        <w:rPr>
          <w:rFonts w:hint="eastAsia" w:ascii="仿宋" w:eastAsia="仿宋" w:cs="仿宋"/>
          <w:sz w:val="27"/>
          <w:szCs w:val="27"/>
          <w:shd w:val="clear"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15" w:lineRule="atLeast"/>
        <w:ind w:left="0" w:right="0" w:firstLine="648"/>
      </w:pPr>
      <w:r>
        <w:rPr>
          <w:rFonts w:hint="eastAsia" w:ascii="仿宋" w:eastAsia="仿宋" w:cs="仿宋"/>
          <w:sz w:val="27"/>
          <w:szCs w:val="27"/>
          <w:shd w:val="clear" w:fill="FFFFFF"/>
        </w:rPr>
        <w:t>（十四）（支出功能分类的名词解释，各部门（单位）根据实际支出情况填列）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4353C"/>
    <w:multiLevelType w:val="singleLevel"/>
    <w:tmpl w:val="B764353C"/>
    <w:lvl w:ilvl="0" w:tentative="0">
      <w:start w:val="1"/>
      <w:numFmt w:val="chineseCounting"/>
      <w:suff w:val="nothing"/>
      <w:lvlText w:val="（%1）"/>
      <w:lvlJc w:val="left"/>
      <w:rPr>
        <w:rFonts w:hint="eastAsia"/>
      </w:rPr>
    </w:lvl>
  </w:abstractNum>
  <w:abstractNum w:abstractNumId="1">
    <w:nsid w:val="C0D8F429"/>
    <w:multiLevelType w:val="multilevel"/>
    <w:tmpl w:val="C0D8F42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E7CE78C7"/>
    <w:multiLevelType w:val="multilevel"/>
    <w:tmpl w:val="E7CE78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91CE9"/>
    <w:rsid w:val="31624666"/>
    <w:rsid w:val="5FE91CE9"/>
    <w:rsid w:val="7EF0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34343"/>
      <w:u w:val="none"/>
    </w:rPr>
  </w:style>
  <w:style w:type="character" w:styleId="7">
    <w:name w:val="Emphasis"/>
    <w:basedOn w:val="4"/>
    <w:qFormat/>
    <w:uiPriority w:val="0"/>
  </w:style>
  <w:style w:type="character" w:styleId="8">
    <w:name w:val="Hyperlink"/>
    <w:basedOn w:val="4"/>
    <w:qFormat/>
    <w:uiPriority w:val="0"/>
    <w:rPr>
      <w:color w:val="434343"/>
      <w:u w:val="none"/>
    </w:rPr>
  </w:style>
  <w:style w:type="character" w:customStyle="1" w:styleId="9">
    <w:name w:val="hdjl-x-l-m-sp3"/>
    <w:basedOn w:val="4"/>
    <w:qFormat/>
    <w:uiPriority w:val="0"/>
  </w:style>
  <w:style w:type="character" w:customStyle="1" w:styleId="10">
    <w:name w:val="r-5-l-sp2"/>
    <w:basedOn w:val="4"/>
    <w:qFormat/>
    <w:uiPriority w:val="0"/>
  </w:style>
  <w:style w:type="character" w:customStyle="1" w:styleId="11">
    <w:name w:val="zx-xuan9"/>
    <w:basedOn w:val="4"/>
    <w:qFormat/>
    <w:uiPriority w:val="0"/>
    <w:rPr>
      <w:shd w:val="clear" w:fill="277E37"/>
    </w:rPr>
  </w:style>
  <w:style w:type="character" w:customStyle="1" w:styleId="12">
    <w:name w:val="hover78"/>
    <w:basedOn w:val="4"/>
    <w:qFormat/>
    <w:uiPriority w:val="0"/>
    <w:rPr>
      <w:shd w:val="clear" w:fill="277E37"/>
    </w:rPr>
  </w:style>
  <w:style w:type="character" w:customStyle="1" w:styleId="13">
    <w:name w:val="hdxdata"/>
    <w:basedOn w:val="4"/>
    <w:uiPriority w:val="0"/>
  </w:style>
  <w:style w:type="character" w:customStyle="1" w:styleId="14">
    <w:name w:val="hdxdata1"/>
    <w:basedOn w:val="4"/>
    <w:qFormat/>
    <w:uiPriority w:val="0"/>
  </w:style>
  <w:style w:type="character" w:customStyle="1" w:styleId="15">
    <w:name w:val="hdjl-x-l-m-sp2"/>
    <w:basedOn w:val="4"/>
    <w:qFormat/>
    <w:uiPriority w:val="0"/>
  </w:style>
  <w:style w:type="character" w:customStyle="1" w:styleId="16">
    <w:name w:val="zx-span4"/>
    <w:basedOn w:val="4"/>
    <w:qFormat/>
    <w:uiPriority w:val="0"/>
  </w:style>
  <w:style w:type="character" w:customStyle="1" w:styleId="17">
    <w:name w:val="r-5-l-sp3"/>
    <w:basedOn w:val="4"/>
    <w:qFormat/>
    <w:uiPriority w:val="0"/>
  </w:style>
  <w:style w:type="character" w:customStyle="1" w:styleId="18">
    <w:name w:val="zwfw-sp2"/>
    <w:basedOn w:val="4"/>
    <w:qFormat/>
    <w:uiPriority w:val="0"/>
  </w:style>
  <w:style w:type="character" w:customStyle="1" w:styleId="19">
    <w:name w:val="r-5-l-sp1"/>
    <w:basedOn w:val="4"/>
    <w:qFormat/>
    <w:uiPriority w:val="0"/>
  </w:style>
  <w:style w:type="character" w:customStyle="1" w:styleId="20">
    <w:name w:val="zx-span2"/>
    <w:basedOn w:val="4"/>
    <w:qFormat/>
    <w:uiPriority w:val="0"/>
  </w:style>
  <w:style w:type="character" w:customStyle="1" w:styleId="21">
    <w:name w:val="zx-span21"/>
    <w:basedOn w:val="4"/>
    <w:qFormat/>
    <w:uiPriority w:val="0"/>
    <w:rPr>
      <w:color w:val="FFFFFF"/>
    </w:rPr>
  </w:style>
  <w:style w:type="character" w:customStyle="1" w:styleId="22">
    <w:name w:val="zx-span1"/>
    <w:basedOn w:val="4"/>
    <w:qFormat/>
    <w:uiPriority w:val="0"/>
  </w:style>
  <w:style w:type="character" w:customStyle="1" w:styleId="23">
    <w:name w:val="zx-span11"/>
    <w:basedOn w:val="4"/>
    <w:qFormat/>
    <w:uiPriority w:val="0"/>
    <w:rPr>
      <w:color w:val="FFFFFF"/>
    </w:rPr>
  </w:style>
  <w:style w:type="character" w:customStyle="1" w:styleId="24">
    <w:name w:val="zx-span5"/>
    <w:basedOn w:val="4"/>
    <w:qFormat/>
    <w:uiPriority w:val="0"/>
  </w:style>
  <w:style w:type="character" w:customStyle="1" w:styleId="25">
    <w:name w:val="zx-span51"/>
    <w:basedOn w:val="4"/>
    <w:qFormat/>
    <w:uiPriority w:val="0"/>
    <w:rPr>
      <w:color w:val="FFFFFF"/>
    </w:rPr>
  </w:style>
  <w:style w:type="character" w:customStyle="1" w:styleId="26">
    <w:name w:val="bsfw-sp1"/>
    <w:basedOn w:val="4"/>
    <w:qFormat/>
    <w:uiPriority w:val="0"/>
  </w:style>
  <w:style w:type="character" w:customStyle="1" w:styleId="27">
    <w:name w:val="bsfw-sp11"/>
    <w:basedOn w:val="4"/>
    <w:qFormat/>
    <w:uiPriority w:val="0"/>
    <w:rPr>
      <w:color w:val="FFFFFF"/>
      <w:shd w:val="clear" w:fill="277E37"/>
    </w:rPr>
  </w:style>
  <w:style w:type="character" w:customStyle="1" w:styleId="28">
    <w:name w:val="zx-span3"/>
    <w:basedOn w:val="4"/>
    <w:qFormat/>
    <w:uiPriority w:val="0"/>
  </w:style>
  <w:style w:type="character" w:customStyle="1" w:styleId="29">
    <w:name w:val="zx-span31"/>
    <w:basedOn w:val="4"/>
    <w:qFormat/>
    <w:uiPriority w:val="0"/>
    <w:rPr>
      <w:color w:val="FFFFFF"/>
    </w:rPr>
  </w:style>
  <w:style w:type="character" w:customStyle="1" w:styleId="30">
    <w:name w:val="bsfw-sp3"/>
    <w:basedOn w:val="4"/>
    <w:qFormat/>
    <w:uiPriority w:val="0"/>
  </w:style>
  <w:style w:type="character" w:customStyle="1" w:styleId="31">
    <w:name w:val="bsfw-sp31"/>
    <w:basedOn w:val="4"/>
    <w:qFormat/>
    <w:uiPriority w:val="0"/>
    <w:rPr>
      <w:color w:val="FFFFFF"/>
      <w:shd w:val="clear" w:fill="277E37"/>
    </w:rPr>
  </w:style>
  <w:style w:type="character" w:customStyle="1" w:styleId="32">
    <w:name w:val="bsfw-sp2"/>
    <w:basedOn w:val="4"/>
    <w:uiPriority w:val="0"/>
  </w:style>
  <w:style w:type="character" w:customStyle="1" w:styleId="33">
    <w:name w:val="bsfw-sp21"/>
    <w:basedOn w:val="4"/>
    <w:qFormat/>
    <w:uiPriority w:val="0"/>
    <w:rPr>
      <w:color w:val="FFFFFF"/>
      <w:shd w:val="clear" w:fill="277E37"/>
    </w:rPr>
  </w:style>
  <w:style w:type="character" w:customStyle="1" w:styleId="34">
    <w:name w:val="zx-xuan4"/>
    <w:basedOn w:val="4"/>
    <w:qFormat/>
    <w:uiPriority w:val="0"/>
    <w:rPr>
      <w:shd w:val="clear" w:fill="FFFFFF"/>
    </w:rPr>
  </w:style>
  <w:style w:type="character" w:customStyle="1" w:styleId="35">
    <w:name w:val="ndata"/>
    <w:basedOn w:val="4"/>
    <w:uiPriority w:val="0"/>
    <w:rPr>
      <w:color w:val="888888"/>
      <w:sz w:val="21"/>
      <w:szCs w:val="21"/>
    </w:rPr>
  </w:style>
  <w:style w:type="character" w:customStyle="1" w:styleId="36">
    <w:name w:val="hdjl-x-l-x-sp3"/>
    <w:basedOn w:val="4"/>
    <w:qFormat/>
    <w:uiPriority w:val="0"/>
    <w:rPr>
      <w:color w:val="BFBFBF"/>
      <w:sz w:val="18"/>
      <w:szCs w:val="18"/>
    </w:rPr>
  </w:style>
  <w:style w:type="character" w:customStyle="1" w:styleId="37">
    <w:name w:val="time2"/>
    <w:basedOn w:val="4"/>
    <w:qFormat/>
    <w:uiPriority w:val="0"/>
    <w:rPr>
      <w:color w:val="AAAAAA"/>
    </w:rPr>
  </w:style>
  <w:style w:type="character" w:customStyle="1" w:styleId="38">
    <w:name w:val="hdjl-x-l-x-sp1"/>
    <w:basedOn w:val="4"/>
    <w:uiPriority w:val="0"/>
    <w:rPr>
      <w:color w:val="BFBFBF"/>
      <w:sz w:val="24"/>
      <w:szCs w:val="24"/>
    </w:rPr>
  </w:style>
  <w:style w:type="character" w:customStyle="1" w:styleId="39">
    <w:name w:val="hdjl-x-l-m-sp1"/>
    <w:basedOn w:val="4"/>
    <w:qFormat/>
    <w:uiPriority w:val="0"/>
  </w:style>
  <w:style w:type="character" w:customStyle="1" w:styleId="40">
    <w:name w:val="hdjl-x-l-m-sp4"/>
    <w:basedOn w:val="4"/>
    <w:qFormat/>
    <w:uiPriority w:val="0"/>
  </w:style>
  <w:style w:type="character" w:customStyle="1" w:styleId="41">
    <w:name w:val="data"/>
    <w:basedOn w:val="4"/>
    <w:uiPriority w:val="0"/>
    <w:rPr>
      <w:color w:val="B6B6B6"/>
      <w:sz w:val="21"/>
      <w:szCs w:val="21"/>
    </w:rPr>
  </w:style>
  <w:style w:type="character" w:customStyle="1" w:styleId="42">
    <w:name w:val="zx-xuan15"/>
    <w:basedOn w:val="4"/>
    <w:uiPriority w:val="0"/>
    <w:rPr>
      <w:color w:val="FFFFFF"/>
    </w:rPr>
  </w:style>
  <w:style w:type="paragraph" w:customStyle="1" w:styleId="43">
    <w:name w:val="p15"/>
    <w:basedOn w:val="1"/>
    <w:qFormat/>
    <w:uiPriority w:val="0"/>
    <w:pPr>
      <w:widowControl/>
      <w:ind w:firstLine="420"/>
    </w:pPr>
    <w:rPr>
      <w:rFonts w:ascii="Calibri" w:hAnsi="Calibri" w:cs="宋体"/>
      <w:kern w:val="0"/>
      <w:szCs w:val="21"/>
    </w:rPr>
  </w:style>
  <w:style w:type="character" w:customStyle="1" w:styleId="44">
    <w:name w:val="font61"/>
    <w:basedOn w:val="4"/>
    <w:qFormat/>
    <w:uiPriority w:val="0"/>
    <w:rPr>
      <w:rFonts w:hint="eastAsia" w:ascii="Times New Roman" w:eastAsia="楷体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2021-05-26T05:23:00Z</dcterms:created>
  <dc:creator>　　　　　　　　</dc:creator>
  <cp:lastModifiedBy>Administrator</cp:lastModifiedBy>
  <dcterms:modified xsi:type="dcterms:W3CDTF">2021-05-31T02:30:13Z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AEA1ED69CF6D4617BD6267014C2816D5</vt:lpwstr>
  </property>
</Properties>
</file>