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00574">
      <w:pPr>
        <w:spacing w:line="578"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14:paraId="2B8BF381">
      <w:pPr>
        <w:spacing w:line="578" w:lineRule="exact"/>
        <w:jc w:val="center"/>
        <w:rPr>
          <w:rFonts w:hint="eastAsia" w:ascii="黑体" w:hAnsi="ˎ̥" w:eastAsia="黑体"/>
          <w:color w:val="auto"/>
          <w:sz w:val="44"/>
          <w:szCs w:val="44"/>
          <w:lang w:val="en-US" w:eastAsia="zh-CN"/>
        </w:rPr>
      </w:pPr>
      <w:r>
        <w:rPr>
          <w:rFonts w:hint="eastAsia" w:ascii="黑体" w:hAnsi="ˎ̥" w:eastAsia="黑体"/>
          <w:sz w:val="44"/>
          <w:szCs w:val="44"/>
        </w:rPr>
        <w:t>海南</w:t>
      </w:r>
      <w:r>
        <w:rPr>
          <w:rFonts w:hint="eastAsia" w:ascii="黑体" w:hAnsi="ˎ̥" w:eastAsia="黑体"/>
          <w:color w:val="auto"/>
          <w:sz w:val="44"/>
          <w:szCs w:val="44"/>
        </w:rPr>
        <w:t>省</w:t>
      </w:r>
      <w:r>
        <w:rPr>
          <w:rFonts w:hint="eastAsia" w:ascii="黑体" w:hAnsi="ˎ̥" w:eastAsia="黑体"/>
          <w:color w:val="auto"/>
          <w:sz w:val="44"/>
          <w:szCs w:val="44"/>
          <w:lang w:eastAsia="zh-CN"/>
        </w:rPr>
        <w:t>临高县</w:t>
      </w:r>
      <w:r>
        <w:rPr>
          <w:rFonts w:hint="eastAsia" w:ascii="黑体" w:hAnsi="ˎ̥" w:eastAsia="黑体"/>
          <w:color w:val="auto"/>
          <w:sz w:val="44"/>
          <w:szCs w:val="44"/>
          <w:lang w:val="en-US" w:eastAsia="zh-CN"/>
        </w:rPr>
        <w:t>市场监督管理局</w:t>
      </w:r>
    </w:p>
    <w:p w14:paraId="4D4D1D23">
      <w:pPr>
        <w:spacing w:line="578" w:lineRule="exact"/>
        <w:jc w:val="center"/>
        <w:rPr>
          <w:rFonts w:hint="eastAsia" w:ascii="黑体" w:hAnsi="ˎ̥" w:eastAsia="黑体"/>
          <w:sz w:val="44"/>
          <w:szCs w:val="44"/>
        </w:rPr>
      </w:pPr>
      <w:r>
        <w:rPr>
          <w:rFonts w:hint="eastAsia" w:ascii="黑体" w:hAnsi="ˎ̥" w:eastAsia="黑体"/>
          <w:sz w:val="44"/>
          <w:szCs w:val="44"/>
        </w:rPr>
        <w:t>202</w:t>
      </w:r>
      <w:r>
        <w:rPr>
          <w:rFonts w:ascii="黑体" w:hAnsi="ˎ̥" w:eastAsia="黑体"/>
          <w:sz w:val="44"/>
          <w:szCs w:val="44"/>
        </w:rPr>
        <w:t>3</w:t>
      </w:r>
      <w:r>
        <w:rPr>
          <w:rFonts w:hint="eastAsia" w:ascii="黑体" w:hAnsi="ˎ̥" w:eastAsia="黑体"/>
          <w:sz w:val="44"/>
          <w:szCs w:val="44"/>
        </w:rPr>
        <w:t>年度</w:t>
      </w:r>
      <w:r>
        <w:rPr>
          <w:rFonts w:hint="eastAsia" w:ascii="黑体" w:hAnsi="ˎ̥" w:eastAsia="黑体"/>
          <w:sz w:val="44"/>
          <w:szCs w:val="44"/>
          <w:lang w:val="en-US" w:eastAsia="zh-CN"/>
        </w:rPr>
        <w:t>本级</w:t>
      </w:r>
      <w:r>
        <w:rPr>
          <w:rFonts w:hint="eastAsia" w:ascii="黑体" w:hAnsi="ˎ̥" w:eastAsia="黑体"/>
          <w:sz w:val="44"/>
          <w:szCs w:val="44"/>
        </w:rPr>
        <w:t>决算公开</w:t>
      </w:r>
      <w:r>
        <w:rPr>
          <w:rFonts w:ascii="黑体" w:hAnsi="ˎ̥" w:eastAsia="黑体"/>
          <w:sz w:val="44"/>
          <w:szCs w:val="44"/>
        </w:rPr>
        <w:t>报告</w:t>
      </w:r>
    </w:p>
    <w:p w14:paraId="56F69263">
      <w:pPr>
        <w:spacing w:line="578" w:lineRule="exact"/>
        <w:jc w:val="center"/>
        <w:rPr>
          <w:rFonts w:hint="eastAsia" w:ascii="黑体" w:hAnsi="ˎ̥" w:eastAsia="黑体"/>
          <w:b/>
          <w:sz w:val="32"/>
          <w:szCs w:val="32"/>
        </w:rPr>
      </w:pPr>
    </w:p>
    <w:p w14:paraId="27B6BCAE">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3E88BECA">
      <w:pPr>
        <w:pStyle w:val="6"/>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1895CFE4">
      <w:pPr>
        <w:pStyle w:val="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36D2A944">
      <w:pPr>
        <w:pStyle w:val="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5463E279">
      <w:pPr>
        <w:pStyle w:val="6"/>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第二部分  202</w:t>
      </w:r>
      <w:r>
        <w:rPr>
          <w:rFonts w:ascii="黑体" w:hAnsi="ˎ̥" w:eastAsia="黑体"/>
          <w:sz w:val="32"/>
          <w:szCs w:val="32"/>
        </w:rPr>
        <w:t>3</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14:paraId="2A8A970A">
      <w:pPr>
        <w:pStyle w:val="6"/>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eastAsia" w:ascii="黑体" w:hAnsi="ˎ̥" w:eastAsia="黑体"/>
          <w:sz w:val="32"/>
          <w:szCs w:val="32"/>
        </w:rPr>
        <w:t>202</w:t>
      </w:r>
      <w:r>
        <w:rPr>
          <w:rFonts w:ascii="黑体" w:hAnsi="ˎ̥" w:eastAsia="黑体"/>
          <w:sz w:val="32"/>
          <w:szCs w:val="32"/>
        </w:rPr>
        <w:t>3</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14:paraId="719A5C04">
      <w:pPr>
        <w:pStyle w:val="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14:paraId="2B25F9DF">
      <w:pPr>
        <w:pStyle w:val="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180060FA">
      <w:pPr>
        <w:pStyle w:val="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60F0EACE">
      <w:pPr>
        <w:pStyle w:val="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24ED20CC">
      <w:pPr>
        <w:pStyle w:val="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14:paraId="506D0022">
      <w:pPr>
        <w:pStyle w:val="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14:paraId="288C4BEC">
      <w:pPr>
        <w:pStyle w:val="7"/>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14:paraId="0E5126A6">
      <w:pPr>
        <w:pStyle w:val="7"/>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6F78E222">
      <w:pPr>
        <w:pStyle w:val="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14:paraId="0F776822">
      <w:pPr>
        <w:pStyle w:val="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14:paraId="327F3119">
      <w:pPr>
        <w:pStyle w:val="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14:paraId="72A2F63B">
      <w:pPr>
        <w:pStyle w:val="6"/>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14:paraId="53786355">
      <w:pPr>
        <w:spacing w:line="578" w:lineRule="exact"/>
        <w:jc w:val="center"/>
        <w:rPr>
          <w:rFonts w:hint="eastAsia" w:ascii="黑体" w:hAnsi="ˎ̥" w:eastAsia="黑体"/>
          <w:sz w:val="32"/>
          <w:szCs w:val="32"/>
        </w:rPr>
      </w:pPr>
      <w:bookmarkStart w:id="2" w:name="_Toc23465_WPSOffice_Level1"/>
      <w:bookmarkStart w:id="3" w:name="_Toc10049_WPSOffice_Level1"/>
      <w:bookmarkStart w:id="4" w:name="_Toc10720_WPSOffice_Level1"/>
      <w:bookmarkStart w:id="5" w:name="_Toc32433_WPSOffice_Level1"/>
      <w:bookmarkStart w:id="6" w:name="_Toc22941_WPSOffice_Level1"/>
      <w:bookmarkStart w:id="7" w:name="_Toc1704_WPSOffice_Level1"/>
      <w:bookmarkStart w:id="8" w:name="_Toc24238_WPSOffice_Level2"/>
      <w:bookmarkStart w:id="9" w:name="_Toc26580_WPSOffice_Level2"/>
      <w:bookmarkStart w:id="10" w:name="_Toc32622_WPSOffice_Level2"/>
      <w:bookmarkStart w:id="11" w:name="_Toc20274_WPSOffice_Level2"/>
      <w:bookmarkStart w:id="12" w:name="_Toc20205_WPSOffice_Level2"/>
      <w:bookmarkStart w:id="13" w:name="_Toc14159_WPSOffice_Level2"/>
      <w:r>
        <w:rPr>
          <w:rFonts w:hint="eastAsia" w:ascii="黑体" w:hAnsi="ˎ̥" w:eastAsia="黑体"/>
          <w:sz w:val="32"/>
          <w:szCs w:val="32"/>
        </w:rPr>
        <w:br w:type="page"/>
      </w:r>
    </w:p>
    <w:p w14:paraId="304E3621">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2888BE5D">
      <w:pPr>
        <w:spacing w:line="578" w:lineRule="exact"/>
        <w:ind w:firstLine="640" w:firstLineChars="200"/>
        <w:rPr>
          <w:rFonts w:hint="eastAsia" w:ascii="楷体" w:hAnsi="楷体" w:eastAsia="楷体" w:cs="楷体"/>
          <w:sz w:val="32"/>
          <w:szCs w:val="32"/>
        </w:rPr>
      </w:pPr>
    </w:p>
    <w:p w14:paraId="5E8AD8C4">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14:paraId="7BA322F5">
      <w:pPr>
        <w:widowControl/>
        <w:ind w:firstLine="620" w:firstLineChars="200"/>
        <w:jc w:val="left"/>
      </w:pPr>
      <w:r>
        <w:rPr>
          <w:rFonts w:hint="eastAsia" w:ascii="仿宋_GB2312" w:hAnsi="宋体" w:eastAsia="仿宋_GB2312" w:cs="仿宋_GB2312"/>
          <w:color w:val="000000"/>
          <w:kern w:val="0"/>
          <w:sz w:val="31"/>
          <w:szCs w:val="31"/>
        </w:rPr>
        <w:t>（一）贯彻落实党中央和国家有关市场监督管理工作的方针政策、法律法规，执行县委县政府决策部署和中国（海南）自由贸易试验区、中国特色自由贸易港市场监督管理工作方面的政策措施。</w:t>
      </w:r>
    </w:p>
    <w:p w14:paraId="1D56707B">
      <w:pPr>
        <w:widowControl/>
        <w:ind w:firstLine="620" w:firstLineChars="200"/>
        <w:jc w:val="left"/>
      </w:pPr>
      <w:r>
        <w:rPr>
          <w:rFonts w:hint="eastAsia" w:ascii="仿宋_GB2312" w:hAnsi="宋体" w:eastAsia="仿宋_GB2312" w:cs="仿宋_GB2312"/>
          <w:color w:val="000000"/>
          <w:kern w:val="0"/>
          <w:sz w:val="31"/>
          <w:szCs w:val="31"/>
        </w:rPr>
        <w:t>（二）贯彻执行市场监督管理工作政策规定、地方性法规、规章、发展战略，研究推进市场监督管理改革，研究提出推进中国（海南）自由贸易试验区、中国特色自由贸易港建设市场监督管理工作方面的意见和建议。</w:t>
      </w:r>
    </w:p>
    <w:p w14:paraId="31F8A28A">
      <w:pPr>
        <w:widowControl/>
        <w:ind w:firstLine="620" w:firstLineChars="200"/>
        <w:jc w:val="left"/>
      </w:pPr>
      <w:r>
        <w:rPr>
          <w:rFonts w:hint="eastAsia" w:ascii="仿宋_GB2312" w:hAnsi="宋体" w:eastAsia="仿宋_GB2312" w:cs="仿宋_GB2312"/>
          <w:color w:val="000000"/>
          <w:kern w:val="0"/>
          <w:sz w:val="31"/>
          <w:szCs w:val="31"/>
        </w:rPr>
        <w:t>（三）负责市场主体统一登记注册。负责组织实施各类企业、农民专业合作社和从事经营活动的单位、个体工商户以及外国</w:t>
      </w:r>
      <w:r>
        <w:rPr>
          <w:color w:val="000000"/>
          <w:kern w:val="0"/>
          <w:sz w:val="31"/>
          <w:szCs w:val="31"/>
        </w:rPr>
        <w:t>(</w:t>
      </w:r>
      <w:r>
        <w:rPr>
          <w:rFonts w:hint="eastAsia" w:ascii="仿宋_GB2312" w:hAnsi="宋体" w:eastAsia="仿宋_GB2312" w:cs="仿宋_GB2312"/>
          <w:color w:val="000000"/>
          <w:kern w:val="0"/>
          <w:sz w:val="31"/>
          <w:szCs w:val="31"/>
        </w:rPr>
        <w:t>地区</w:t>
      </w:r>
      <w:r>
        <w:rPr>
          <w:color w:val="000000"/>
          <w:kern w:val="0"/>
          <w:sz w:val="31"/>
          <w:szCs w:val="31"/>
        </w:rPr>
        <w:t>)</w:t>
      </w:r>
      <w:r>
        <w:rPr>
          <w:rFonts w:hint="eastAsia" w:ascii="仿宋_GB2312" w:hAnsi="宋体" w:eastAsia="仿宋_GB2312" w:cs="仿宋_GB2312"/>
          <w:color w:val="000000"/>
          <w:kern w:val="0"/>
          <w:sz w:val="31"/>
          <w:szCs w:val="31"/>
        </w:rPr>
        <w:t>企业常驻代表机构等市场主体的登记注册和监督管理工作。建立市场主体信息公示和共享机制，依法公示和共享有关信息。加强信用监管，推动市场主体信用体系建设。</w:t>
      </w:r>
    </w:p>
    <w:p w14:paraId="7D012386">
      <w:pPr>
        <w:widowControl/>
        <w:ind w:firstLine="620" w:firstLineChars="200"/>
        <w:jc w:val="left"/>
      </w:pPr>
      <w:r>
        <w:rPr>
          <w:rFonts w:hint="eastAsia" w:ascii="仿宋_GB2312" w:hAnsi="宋体" w:eastAsia="仿宋_GB2312" w:cs="仿宋_GB2312"/>
          <w:color w:val="000000"/>
          <w:kern w:val="0"/>
          <w:sz w:val="31"/>
          <w:szCs w:val="31"/>
        </w:rPr>
        <w:t>（四）负责监督管理市场秩序。依法监督管理市场交易、网络商品交易及有关服务的行为。查处价格、收费违法违规、不正当竞争、违法直销、传销、侵犯商标专利知识产权和制售假冒伪劣行为。指导广告业发展，监督管理广告活动。查处无照生产经营和相关无证生产经营行为。指导临高县消费者委员会开展消费维权工作。</w:t>
      </w:r>
    </w:p>
    <w:p w14:paraId="7BF83A7C">
      <w:pPr>
        <w:widowControl/>
        <w:ind w:firstLine="620" w:firstLineChars="200"/>
        <w:jc w:val="left"/>
      </w:pPr>
      <w:r>
        <w:rPr>
          <w:rFonts w:hint="eastAsia" w:ascii="仿宋_GB2312" w:hAnsi="宋体" w:eastAsia="仿宋_GB2312" w:cs="仿宋_GB2312"/>
          <w:color w:val="000000"/>
          <w:kern w:val="0"/>
          <w:sz w:val="31"/>
          <w:szCs w:val="31"/>
        </w:rPr>
        <w:t>（五）负责市场综合监督管理。组织实施市场监督管理相关规划。规范和维护市场秩序</w:t>
      </w:r>
      <w:r>
        <w:rPr>
          <w:color w:val="000000"/>
          <w:kern w:val="0"/>
          <w:sz w:val="31"/>
          <w:szCs w:val="31"/>
        </w:rPr>
        <w:t>,</w:t>
      </w:r>
      <w:r>
        <w:rPr>
          <w:rFonts w:hint="eastAsia" w:ascii="仿宋_GB2312" w:hAnsi="宋体" w:eastAsia="仿宋_GB2312" w:cs="仿宋_GB2312"/>
          <w:color w:val="000000"/>
          <w:kern w:val="0"/>
          <w:sz w:val="31"/>
          <w:szCs w:val="31"/>
        </w:rPr>
        <w:t>加快形成法治化、国际化、便利化的营商环境和公平开放统一高效的市场环境。</w:t>
      </w:r>
    </w:p>
    <w:p w14:paraId="2257E5B3">
      <w:pPr>
        <w:widowControl/>
        <w:ind w:firstLine="620" w:firstLineChars="200"/>
        <w:jc w:val="left"/>
      </w:pPr>
      <w:r>
        <w:rPr>
          <w:rFonts w:hint="eastAsia" w:ascii="仿宋_GB2312" w:hAnsi="宋体" w:eastAsia="仿宋_GB2312" w:cs="仿宋_GB2312"/>
          <w:color w:val="000000"/>
          <w:kern w:val="0"/>
          <w:sz w:val="31"/>
          <w:szCs w:val="31"/>
        </w:rPr>
        <w:t>（六）承担反垄断统一执法。统筹推进本区域竞争政策实施，实施公平竞争审查制度。依法依授权开展反垄断执法工作，对经营者集中行为进行反垄断审查。</w:t>
      </w:r>
    </w:p>
    <w:p w14:paraId="16A1D049">
      <w:pPr>
        <w:widowControl/>
        <w:ind w:firstLine="620" w:firstLineChars="200"/>
        <w:jc w:val="left"/>
      </w:pPr>
      <w:r>
        <w:rPr>
          <w:rFonts w:hint="eastAsia" w:ascii="仿宋_GB2312" w:hAnsi="宋体" w:eastAsia="仿宋_GB2312" w:cs="仿宋_GB2312"/>
          <w:color w:val="000000"/>
          <w:kern w:val="0"/>
          <w:sz w:val="31"/>
          <w:szCs w:val="31"/>
        </w:rPr>
        <w:t>（七）组织实施知识产权工作规划和政策措施，推进知识产权改革。负责全县商标、专利、原产地地理标志、集成电路布图设计等领域的知识产权保护。建设和完善全县知识产权保护体系。承担全县知识产权保护工作。建立和完善全县知识产权创造、运用管理和服务体系。培育高价值知识产权，拟订知识产权产业化政策。完善知识产权质押融资和信用担保机制，推进知识产权运营体系建设。建设和优化知识产权公共服务体系。负责知识产权服务机构的监督和管理。拟订知识产权服务业扶持政策，引进知识产权服务机构，培育知识产权服务品牌，加强对知识产权服务机构监督。负责知识产权对外合作与交流。负责商标、专利、地理标志执法工作，实施商标权、专利权确权和侵权判断标准。</w:t>
      </w:r>
    </w:p>
    <w:p w14:paraId="76B089F0">
      <w:pPr>
        <w:widowControl/>
        <w:ind w:firstLine="620" w:firstLineChars="200"/>
        <w:jc w:val="left"/>
      </w:pPr>
      <w:r>
        <w:rPr>
          <w:rFonts w:hint="eastAsia" w:ascii="仿宋_GB2312" w:hAnsi="宋体" w:eastAsia="仿宋_GB2312" w:cs="仿宋_GB2312"/>
          <w:color w:val="000000"/>
          <w:kern w:val="0"/>
          <w:sz w:val="31"/>
          <w:szCs w:val="31"/>
        </w:rPr>
        <w:t>（八）负责宏观质量管理。负责质量基础设施协同服务及应用工作。会同有关部门落实工程设备质量监理制度，开展重大质量事故调查。落实缺陷产品召回制度。监督管理产品防伪工作。</w:t>
      </w:r>
    </w:p>
    <w:p w14:paraId="5EAB613F">
      <w:pPr>
        <w:widowControl/>
        <w:ind w:firstLine="620" w:firstLineChars="200"/>
        <w:jc w:val="left"/>
      </w:pPr>
      <w:r>
        <w:rPr>
          <w:rFonts w:hint="eastAsia" w:ascii="仿宋_GB2312" w:hAnsi="宋体" w:eastAsia="仿宋_GB2312" w:cs="仿宋_GB2312"/>
          <w:color w:val="000000"/>
          <w:kern w:val="0"/>
          <w:sz w:val="31"/>
          <w:szCs w:val="31"/>
        </w:rPr>
        <w:t>（九）实施质量强县战略、食品安全战略和标准化战略。</w:t>
      </w:r>
    </w:p>
    <w:p w14:paraId="6B42D043">
      <w:pPr>
        <w:widowControl/>
        <w:ind w:firstLine="620" w:firstLineChars="200"/>
        <w:jc w:val="left"/>
      </w:pPr>
      <w:r>
        <w:rPr>
          <w:rFonts w:hint="eastAsia" w:ascii="仿宋_GB2312" w:hAnsi="宋体" w:eastAsia="仿宋_GB2312" w:cs="仿宋_GB2312"/>
          <w:color w:val="000000"/>
          <w:kern w:val="0"/>
          <w:sz w:val="31"/>
          <w:szCs w:val="31"/>
        </w:rPr>
        <w:t>（十）负责特种设备安全监督管理。综合管理特种设备安全监察、监督工作。监督检查高耗能特种设备节能标准和锅炉环境保护标准的执行情况。</w:t>
      </w:r>
    </w:p>
    <w:p w14:paraId="7A72FE0B">
      <w:pPr>
        <w:widowControl/>
        <w:ind w:firstLine="620" w:firstLineChars="200"/>
        <w:jc w:val="left"/>
      </w:pPr>
      <w:r>
        <w:rPr>
          <w:rFonts w:hint="eastAsia" w:ascii="仿宋_GB2312" w:hAnsi="宋体" w:eastAsia="仿宋_GB2312" w:cs="仿宋_GB2312"/>
          <w:color w:val="000000"/>
          <w:kern w:val="0"/>
          <w:sz w:val="31"/>
          <w:szCs w:val="31"/>
        </w:rPr>
        <w:t>（十一）负责认证认可和检验检测监督管理工作。实施认证认可、合格评定和检验检测监督管理制度。规范和监督认证行业与检验检测行业发展。推进检验检测资源整合和改革工作，规范检验检测市场，完善检验检测体系。</w:t>
      </w:r>
    </w:p>
    <w:p w14:paraId="2A1DF3C9">
      <w:pPr>
        <w:widowControl/>
        <w:ind w:firstLine="620" w:firstLineChars="200"/>
        <w:jc w:val="left"/>
      </w:pPr>
      <w:r>
        <w:rPr>
          <w:rFonts w:hint="eastAsia" w:ascii="仿宋_GB2312" w:hAnsi="宋体" w:eastAsia="仿宋_GB2312" w:cs="仿宋_GB2312"/>
          <w:color w:val="000000"/>
          <w:kern w:val="0"/>
          <w:sz w:val="31"/>
          <w:szCs w:val="31"/>
        </w:rPr>
        <w:t>（十二）负责计量管理工作。落实法定计量单位和国家计量制度。管理计量器具及量值传递和比对工作。规范、监督商品量和市场计量行为。</w:t>
      </w:r>
    </w:p>
    <w:p w14:paraId="0B049E75">
      <w:pPr>
        <w:widowControl/>
        <w:ind w:firstLine="620" w:firstLineChars="200"/>
        <w:jc w:val="left"/>
      </w:pPr>
      <w:r>
        <w:rPr>
          <w:rFonts w:hint="eastAsia" w:ascii="仿宋_GB2312" w:hAnsi="宋体" w:eastAsia="仿宋_GB2312" w:cs="仿宋_GB2312"/>
          <w:color w:val="000000"/>
          <w:kern w:val="0"/>
          <w:sz w:val="31"/>
          <w:szCs w:val="31"/>
        </w:rPr>
        <w:t>（十三）负责统一管理标准化工作。研究构建经济社会发展标准体系。依法协调指导和监督团体标准、企业标准工作。组织开展标准化试点示范，推动标准实施。全面实施企业标准自我声明公开和监督制度。</w:t>
      </w:r>
    </w:p>
    <w:p w14:paraId="372479F8">
      <w:pPr>
        <w:widowControl/>
        <w:ind w:firstLine="620" w:firstLineChars="200"/>
        <w:jc w:val="left"/>
      </w:pPr>
      <w:r>
        <w:rPr>
          <w:rFonts w:hint="eastAsia" w:ascii="仿宋_GB2312" w:hAnsi="宋体" w:eastAsia="仿宋_GB2312" w:cs="仿宋_GB2312"/>
          <w:color w:val="000000"/>
          <w:kern w:val="0"/>
          <w:sz w:val="31"/>
          <w:szCs w:val="31"/>
        </w:rPr>
        <w:t>（十四）负责组织指导市场监督管理执法工作。整合和建设县市场监督管理执法队伍，推动实行统一的市场监管。查处上级部门交办的违法案件。规范市场监管行政执法行为。</w:t>
      </w:r>
    </w:p>
    <w:p w14:paraId="0FE6A414">
      <w:pPr>
        <w:widowControl/>
        <w:ind w:firstLine="620" w:firstLineChars="200"/>
        <w:jc w:val="left"/>
      </w:pPr>
      <w:r>
        <w:rPr>
          <w:rFonts w:hint="eastAsia" w:ascii="仿宋_GB2312" w:hAnsi="宋体" w:eastAsia="仿宋_GB2312" w:cs="仿宋_GB2312"/>
          <w:color w:val="000000"/>
          <w:kern w:val="0"/>
          <w:sz w:val="31"/>
          <w:szCs w:val="31"/>
        </w:rPr>
        <w:t>（十五）负责产品质量安全监督管理。实施产品质量安全风险监控、监督抽检工作。实施质量分级制度、质量安全追溯制度。负责工业产品生产许可管理工作。</w:t>
      </w:r>
    </w:p>
    <w:p w14:paraId="37148AA8">
      <w:pPr>
        <w:widowControl/>
        <w:ind w:firstLine="620" w:firstLineChars="200"/>
        <w:jc w:val="left"/>
      </w:pPr>
      <w:r>
        <w:rPr>
          <w:rFonts w:hint="eastAsia" w:ascii="仿宋_GB2312" w:hAnsi="宋体" w:eastAsia="仿宋_GB2312" w:cs="仿宋_GB2312"/>
          <w:color w:val="000000"/>
          <w:kern w:val="0"/>
          <w:sz w:val="31"/>
          <w:szCs w:val="31"/>
        </w:rPr>
        <w:t>（十六）负责食品安全监督管理综合协调。承担对各镇、农场和有关部门履行食品安全监督管理职责的考核评价具体工作。负责食品安全应急体系建设</w:t>
      </w:r>
      <w:r>
        <w:rPr>
          <w:color w:val="000000"/>
          <w:kern w:val="0"/>
          <w:sz w:val="31"/>
          <w:szCs w:val="31"/>
        </w:rPr>
        <w:t>,</w:t>
      </w:r>
      <w:r>
        <w:rPr>
          <w:rFonts w:hint="eastAsia" w:ascii="仿宋_GB2312" w:hAnsi="宋体" w:eastAsia="仿宋_GB2312" w:cs="仿宋_GB2312"/>
          <w:color w:val="000000"/>
          <w:kern w:val="0"/>
          <w:sz w:val="31"/>
          <w:szCs w:val="31"/>
        </w:rPr>
        <w:t>组织协调食品安全事件应急处置和调查处理工作。建立健全食品安全重要信息直报制度。负责开展食品安全宣传和教育培训工作。承担县食品安全委员会日常工作。</w:t>
      </w:r>
    </w:p>
    <w:p w14:paraId="31B8FC84">
      <w:pPr>
        <w:widowControl/>
        <w:ind w:firstLine="620" w:firstLineChars="200"/>
        <w:jc w:val="left"/>
      </w:pPr>
      <w:r>
        <w:rPr>
          <w:rFonts w:hint="eastAsia" w:ascii="仿宋_GB2312" w:hAnsi="宋体" w:eastAsia="仿宋_GB2312" w:cs="仿宋_GB2312"/>
          <w:color w:val="000000"/>
          <w:kern w:val="0"/>
          <w:sz w:val="31"/>
          <w:szCs w:val="31"/>
        </w:rPr>
        <w:t>（十七）负责食品质量安全监督管理。建立覆盖食品生产、流通、消费全过程的监督检查制度和隐患排查治理机制并组织实施。防范区域性、系统性食品安全风险。推动建立食品生产经营者落实主体责任的机制</w:t>
      </w:r>
      <w:r>
        <w:rPr>
          <w:color w:val="000000"/>
          <w:kern w:val="0"/>
          <w:sz w:val="31"/>
          <w:szCs w:val="31"/>
        </w:rPr>
        <w:t>,</w:t>
      </w:r>
      <w:r>
        <w:rPr>
          <w:rFonts w:hint="eastAsia" w:ascii="仿宋_GB2312" w:hAnsi="宋体" w:eastAsia="仿宋_GB2312" w:cs="仿宋_GB2312"/>
          <w:color w:val="000000"/>
          <w:kern w:val="0"/>
          <w:sz w:val="31"/>
          <w:szCs w:val="31"/>
        </w:rPr>
        <w:t>健全食品安全追溯体系。组织开展食品质量安全监督抽检、风险监测、核查处置和风险预警、风险交流工作。按规定权限办理食品质量安全管理的行政许可。负责食盐的监督管理工作。负责监管餐饮用具集中消毒服务单位。</w:t>
      </w:r>
    </w:p>
    <w:p w14:paraId="1142EC8E">
      <w:pPr>
        <w:widowControl/>
        <w:ind w:firstLine="620" w:firstLineChars="200"/>
        <w:jc w:val="left"/>
      </w:pPr>
      <w:r>
        <w:rPr>
          <w:rFonts w:hint="eastAsia" w:ascii="仿宋_GB2312" w:hAnsi="宋体" w:eastAsia="仿宋_GB2312" w:cs="仿宋_GB2312"/>
          <w:color w:val="000000"/>
          <w:kern w:val="0"/>
          <w:sz w:val="31"/>
          <w:szCs w:val="31"/>
        </w:rPr>
        <w:t>（十八）负责药品（含中药、民族药，下同）、医疗器械、化妆品安全监督管理工作。监督实施国家药品、医疗器械和化妆品法律法规规章及标准。监督实施药品和医疗器械经营、使用质量管理规范。监督实施国家化妆品生产经营管理规范。负责药品、医疗器械和化妆品上市后风险管理。监督实施药品、医疗器械和化妆品的抽检计划。负责药品零售、医疗器械经营的许可、检查和处罚，以及化妆品生产经营和药品、医疗器械使用环节质量的检查和处罚。</w:t>
      </w:r>
    </w:p>
    <w:p w14:paraId="16D674B4">
      <w:pPr>
        <w:widowControl/>
        <w:ind w:firstLine="620" w:firstLineChars="200"/>
        <w:jc w:val="left"/>
      </w:pPr>
      <w:r>
        <w:rPr>
          <w:rFonts w:hint="eastAsia" w:ascii="仿宋_GB2312" w:hAnsi="宋体" w:eastAsia="仿宋_GB2312" w:cs="仿宋_GB2312"/>
          <w:color w:val="000000"/>
          <w:kern w:val="0"/>
          <w:sz w:val="31"/>
          <w:szCs w:val="31"/>
        </w:rPr>
        <w:t>（十九）负责县市场监督管理科技和信息化建设、新闻宣传、对外交流与合作等工作。承担技术性贸易措施有关工作。</w:t>
      </w:r>
    </w:p>
    <w:p w14:paraId="074B1FA1">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黑体" w:hAnsi="黑体" w:eastAsia="黑体" w:cs="黑体"/>
          <w:sz w:val="32"/>
          <w:szCs w:val="32"/>
        </w:rPr>
      </w:pPr>
      <w:r>
        <w:rPr>
          <w:rFonts w:hint="eastAsia" w:ascii="仿宋_GB2312" w:hAnsi="宋体" w:eastAsia="仿宋_GB2312" w:cs="仿宋_GB2312"/>
          <w:color w:val="000000"/>
          <w:kern w:val="0"/>
          <w:sz w:val="31"/>
          <w:szCs w:val="31"/>
        </w:rPr>
        <w:t>（二十）完成县委、县政府和上级部门交办的其他任务。</w:t>
      </w:r>
    </w:p>
    <w:p w14:paraId="7DCC72B2">
      <w:pPr>
        <w:spacing w:line="578" w:lineRule="exact"/>
        <w:ind w:firstLine="640" w:firstLineChars="200"/>
        <w:rPr>
          <w:rFonts w:hint="eastAsia" w:ascii="黑体" w:hAnsi="黑体" w:eastAsia="黑体" w:cs="黑体"/>
          <w:sz w:val="32"/>
          <w:szCs w:val="32"/>
        </w:rPr>
      </w:pPr>
      <w:bookmarkStart w:id="14" w:name="_Toc24474_WPSOffice_Level2"/>
      <w:bookmarkStart w:id="15" w:name="_Toc24059_WPSOffice_Level2"/>
      <w:bookmarkStart w:id="16" w:name="_Toc4833_WPSOffice_Level2"/>
      <w:bookmarkStart w:id="17" w:name="_Toc17796_WPSOffice_Level2"/>
      <w:bookmarkStart w:id="18" w:name="_Toc6572_WPSOffice_Level2"/>
      <w:r>
        <w:rPr>
          <w:rFonts w:hint="eastAsia" w:ascii="黑体" w:hAnsi="黑体" w:eastAsia="黑体" w:cs="黑体"/>
          <w:sz w:val="32"/>
          <w:szCs w:val="32"/>
        </w:rPr>
        <w:t>二、机构设置</w:t>
      </w:r>
      <w:bookmarkEnd w:id="14"/>
      <w:bookmarkEnd w:id="15"/>
      <w:bookmarkEnd w:id="16"/>
      <w:bookmarkEnd w:id="17"/>
      <w:bookmarkEnd w:id="18"/>
    </w:p>
    <w:p w14:paraId="09FE435C">
      <w:pPr>
        <w:keepNext w:val="0"/>
        <w:keepLines w:val="0"/>
        <w:widowControl/>
        <w:numPr>
          <w:ilvl w:val="0"/>
          <w:numId w:val="0"/>
        </w:numPr>
        <w:suppressLineNumbers w:val="0"/>
        <w:ind w:firstLine="930" w:firstLineChars="300"/>
        <w:jc w:val="left"/>
      </w:pPr>
      <w:r>
        <w:rPr>
          <w:rFonts w:hint="eastAsia" w:ascii="仿宋_GB2312" w:hAnsi="宋体" w:eastAsia="仿宋_GB2312" w:cs="仿宋_GB2312"/>
          <w:color w:val="000000"/>
          <w:kern w:val="0"/>
          <w:sz w:val="31"/>
          <w:szCs w:val="31"/>
          <w:lang w:val="en-US" w:eastAsia="zh-CN" w:bidi="ar"/>
        </w:rPr>
        <w:t>临高县市场监督管理局设下列内设机构：</w:t>
      </w:r>
    </w:p>
    <w:p w14:paraId="4B2FF071">
      <w:pPr>
        <w:keepNext w:val="0"/>
        <w:keepLines w:val="0"/>
        <w:widowControl/>
        <w:suppressLineNumbers w:val="0"/>
        <w:ind w:firstLine="620" w:firstLineChars="200"/>
        <w:jc w:val="left"/>
      </w:pPr>
      <w:r>
        <w:rPr>
          <w:rFonts w:ascii="楷体" w:hAnsi="楷体" w:eastAsia="楷体" w:cs="楷体"/>
          <w:color w:val="000000"/>
          <w:kern w:val="0"/>
          <w:sz w:val="31"/>
          <w:szCs w:val="31"/>
          <w:lang w:val="en-US" w:eastAsia="zh-CN" w:bidi="ar"/>
        </w:rPr>
        <w:t>（一）办公室（信访室）。</w:t>
      </w:r>
    </w:p>
    <w:p w14:paraId="2485E0A8">
      <w:pPr>
        <w:keepNext w:val="0"/>
        <w:keepLines w:val="0"/>
        <w:widowControl/>
        <w:suppressLineNumbers w:val="0"/>
        <w:ind w:firstLine="620" w:firstLineChars="200"/>
        <w:jc w:val="left"/>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（二）组织人事室（督查室）。</w:t>
      </w:r>
    </w:p>
    <w:p w14:paraId="37044ED7">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（三）信用监督管理室（登记注册室）。</w:t>
      </w:r>
    </w:p>
    <w:p w14:paraId="3CCFC371">
      <w:pPr>
        <w:keepNext w:val="0"/>
        <w:keepLines w:val="0"/>
        <w:widowControl/>
        <w:suppressLineNumbers w:val="0"/>
        <w:ind w:left="617" w:leftChars="294" w:firstLine="0" w:firstLineChars="0"/>
        <w:jc w:val="left"/>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（四）市场秩序综合监督管理室（知识产权室）。</w:t>
      </w:r>
    </w:p>
    <w:p w14:paraId="5309FBFF">
      <w:pPr>
        <w:keepNext w:val="0"/>
        <w:keepLines w:val="0"/>
        <w:widowControl/>
        <w:suppressLineNumbers w:val="0"/>
        <w:ind w:left="617" w:leftChars="294" w:firstLine="0" w:firstLineChars="0"/>
        <w:jc w:val="left"/>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（五）质量技术监督管理室。</w:t>
      </w:r>
    </w:p>
    <w:p w14:paraId="4B5A8EA3">
      <w:pPr>
        <w:keepNext w:val="0"/>
        <w:keepLines w:val="0"/>
        <w:widowControl/>
        <w:suppressLineNumbers w:val="0"/>
        <w:ind w:firstLine="620" w:firstLineChars="200"/>
        <w:jc w:val="left"/>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（六）特种设备安全监察室。</w:t>
      </w:r>
    </w:p>
    <w:p w14:paraId="6C46BB64">
      <w:pPr>
        <w:keepNext w:val="0"/>
        <w:keepLines w:val="0"/>
        <w:widowControl/>
        <w:suppressLineNumbers w:val="0"/>
        <w:ind w:firstLine="620" w:firstLineChars="200"/>
        <w:jc w:val="left"/>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（七）食品生产流通监督管理室（食品综合协调室）。</w:t>
      </w:r>
    </w:p>
    <w:p w14:paraId="4B6ECDDF">
      <w:pPr>
        <w:keepNext w:val="0"/>
        <w:keepLines w:val="0"/>
        <w:widowControl/>
        <w:suppressLineNumbers w:val="0"/>
        <w:ind w:firstLine="620" w:firstLineChars="200"/>
        <w:jc w:val="left"/>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（八）餐饮服务监督管理室（食品安全抽检监测室）。</w:t>
      </w:r>
    </w:p>
    <w:p w14:paraId="7071AAFD">
      <w:pPr>
        <w:keepNext w:val="0"/>
        <w:keepLines w:val="0"/>
        <w:widowControl/>
        <w:suppressLineNumbers w:val="0"/>
        <w:ind w:firstLine="620" w:firstLineChars="200"/>
        <w:jc w:val="left"/>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（九）药械化监督管理室。</w:t>
      </w:r>
    </w:p>
    <w:p w14:paraId="0B677B32">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县市场监督管理局行政编制</w:t>
      </w:r>
      <w:r>
        <w:rPr>
          <w:rFonts w:hint="default" w:ascii="Times New Roman" w:hAnsi="Times New Roman" w:eastAsia="宋体" w:cs="Times New Roman"/>
          <w:color w:val="000000"/>
          <w:kern w:val="0"/>
          <w:sz w:val="31"/>
          <w:szCs w:val="31"/>
          <w:lang w:val="en-US" w:eastAsia="zh-CN" w:bidi="ar"/>
        </w:rPr>
        <w:t>8</w:t>
      </w:r>
      <w:r>
        <w:rPr>
          <w:rFonts w:hint="eastAsia"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名（其中局机关</w:t>
      </w:r>
      <w:r>
        <w:rPr>
          <w:rFonts w:hint="eastAsia" w:ascii="Times New Roman" w:hAnsi="Times New Roman" w:eastAsia="宋体" w:cs="Times New Roman"/>
          <w:color w:val="000000"/>
          <w:kern w:val="0"/>
          <w:sz w:val="31"/>
          <w:szCs w:val="31"/>
          <w:lang w:val="en-US" w:eastAsia="zh-CN" w:bidi="ar"/>
        </w:rPr>
        <w:t>35</w:t>
      </w:r>
      <w:r>
        <w:rPr>
          <w:rFonts w:hint="eastAsia" w:ascii="仿宋_GB2312" w:hAnsi="宋体" w:eastAsia="仿宋_GB2312" w:cs="仿宋_GB2312"/>
          <w:color w:val="000000"/>
          <w:kern w:val="0"/>
          <w:sz w:val="31"/>
          <w:szCs w:val="31"/>
          <w:lang w:val="en-US" w:eastAsia="zh-CN" w:bidi="ar"/>
        </w:rPr>
        <w:t>名，派出机构</w:t>
      </w:r>
      <w:r>
        <w:rPr>
          <w:rFonts w:hint="default" w:ascii="Times New Roman" w:hAnsi="Times New Roman" w:eastAsia="宋体" w:cs="Times New Roman"/>
          <w:color w:val="000000"/>
          <w:kern w:val="0"/>
          <w:sz w:val="31"/>
          <w:szCs w:val="31"/>
          <w:lang w:val="en-US" w:eastAsia="zh-CN" w:bidi="ar"/>
        </w:rPr>
        <w:t>45</w:t>
      </w:r>
      <w:r>
        <w:rPr>
          <w:rFonts w:hint="eastAsia" w:ascii="仿宋_GB2312" w:hAnsi="宋体" w:eastAsia="仿宋_GB2312" w:cs="仿宋_GB2312"/>
          <w:color w:val="000000"/>
          <w:kern w:val="0"/>
          <w:sz w:val="31"/>
          <w:szCs w:val="31"/>
          <w:lang w:val="en-US" w:eastAsia="zh-CN" w:bidi="ar"/>
        </w:rPr>
        <w:t>名）。设局长</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名，副局长</w:t>
      </w: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名。机关工勤人员财政全额预算管理事业编制</w:t>
      </w:r>
      <w:r>
        <w:rPr>
          <w:rFonts w:hint="eastAsia"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名。</w:t>
      </w:r>
    </w:p>
    <w:p w14:paraId="1F4550B1">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县市场监督管理局设</w:t>
      </w:r>
      <w:r>
        <w:rPr>
          <w:rFonts w:hint="default" w:ascii="Times New Roman" w:hAnsi="Times New Roman" w:eastAsia="宋体" w:cs="Times New Roman"/>
          <w:color w:val="000000"/>
          <w:kern w:val="0"/>
          <w:sz w:val="31"/>
          <w:szCs w:val="31"/>
          <w:lang w:val="en-US" w:eastAsia="zh-CN" w:bidi="ar"/>
        </w:rPr>
        <w:t>12</w:t>
      </w:r>
      <w:r>
        <w:rPr>
          <w:rFonts w:hint="eastAsia" w:ascii="仿宋_GB2312" w:hAnsi="宋体" w:eastAsia="仿宋_GB2312" w:cs="仿宋_GB2312"/>
          <w:color w:val="000000"/>
          <w:kern w:val="0"/>
          <w:sz w:val="31"/>
          <w:szCs w:val="31"/>
          <w:lang w:val="en-US" w:eastAsia="zh-CN" w:bidi="ar"/>
        </w:rPr>
        <w:t>个派出机构。</w:t>
      </w:r>
    </w:p>
    <w:p w14:paraId="4473AD37">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临高县市场监督管理局西门市场监督管理所</w:t>
      </w:r>
    </w:p>
    <w:p w14:paraId="22EC69AA">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临高县市场监督管理局东门市场监督管理所</w:t>
      </w:r>
    </w:p>
    <w:p w14:paraId="3BCC1575">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临高县市场监督管理局新盈市场监督管理所</w:t>
      </w:r>
    </w:p>
    <w:p w14:paraId="5010F43F">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临高县市场监督管理局博厚市场监督管理所</w:t>
      </w:r>
    </w:p>
    <w:p w14:paraId="4BCC58C8">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临高县市场监督管理局加来市场监督管理所</w:t>
      </w:r>
    </w:p>
    <w:p w14:paraId="23CEEB2F">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临高县市场监督管理局多文市场监督管理所</w:t>
      </w:r>
    </w:p>
    <w:p w14:paraId="52EB5609">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临高县市场监督管理局南宝市场监督管理所</w:t>
      </w:r>
    </w:p>
    <w:p w14:paraId="3A1F4772">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临高县市场监督管理局和舍市场监督管理所</w:t>
      </w:r>
    </w:p>
    <w:p w14:paraId="654ECA93">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临高县市场监督管理局调楼市场监督管理所</w:t>
      </w:r>
    </w:p>
    <w:p w14:paraId="1C98984B">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临高县市场监督管理局皇桐市场监督管理所</w:t>
      </w:r>
    </w:p>
    <w:p w14:paraId="71569F1C">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临高县市场监督管理局东英市场监督管理所</w:t>
      </w:r>
    </w:p>
    <w:p w14:paraId="47212773">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临高县市场监督管理局波莲市场监督管理所</w:t>
      </w:r>
    </w:p>
    <w:p w14:paraId="5557EF41">
      <w:pPr>
        <w:keepNext w:val="0"/>
        <w:keepLines w:val="0"/>
        <w:widowControl/>
        <w:suppressLineNumbers w:val="0"/>
        <w:ind w:firstLine="620" w:firstLineChars="200"/>
        <w:jc w:val="left"/>
        <w:rPr>
          <w:rFonts w:hint="eastAsia" w:ascii="仿宋_GB2312" w:hAnsi="ˎ̥" w:eastAsia="仿宋_GB2312"/>
          <w:sz w:val="32"/>
          <w:szCs w:val="32"/>
        </w:rPr>
      </w:pPr>
      <w:r>
        <w:rPr>
          <w:rFonts w:hint="eastAsia" w:ascii="仿宋_GB2312" w:hAnsi="宋体" w:eastAsia="仿宋_GB2312" w:cs="仿宋_GB2312"/>
          <w:color w:val="000000"/>
          <w:kern w:val="0"/>
          <w:sz w:val="31"/>
          <w:szCs w:val="31"/>
          <w:lang w:val="en-US" w:eastAsia="zh-CN" w:bidi="ar"/>
        </w:rPr>
        <w:t>以上市场监督管理所承担辖区内相应的市场监督管理职责和行政执法职责。</w:t>
      </w:r>
    </w:p>
    <w:p w14:paraId="55316998">
      <w:pPr>
        <w:spacing w:line="578" w:lineRule="exact"/>
        <w:jc w:val="center"/>
        <w:rPr>
          <w:rFonts w:hint="eastAsia" w:ascii="黑体" w:hAnsi="ˎ̥" w:eastAsia="黑体"/>
          <w:sz w:val="32"/>
          <w:szCs w:val="32"/>
        </w:rPr>
      </w:pPr>
      <w:bookmarkStart w:id="19" w:name="_Toc30690_WPSOffice_Level1"/>
      <w:bookmarkStart w:id="20" w:name="_Toc6234_WPSOffice_Level1"/>
      <w:bookmarkStart w:id="21" w:name="_Toc15521_WPSOffice_Level1"/>
      <w:bookmarkStart w:id="22" w:name="_Toc30451_WPSOffice_Level1"/>
      <w:bookmarkStart w:id="23" w:name="_Toc28253_WPSOffice_Level1"/>
      <w:bookmarkStart w:id="24" w:name="_Toc8164_WPSOffice_Level1"/>
      <w:bookmarkStart w:id="25" w:name="_Toc32472_WPSOffice_Level2"/>
      <w:bookmarkStart w:id="26" w:name="_Toc8867_WPSOffice_Level2"/>
      <w:bookmarkStart w:id="27" w:name="_Toc11518_WPSOffice_Level2"/>
      <w:bookmarkStart w:id="28" w:name="_Toc4029_WPSOffice_Level2"/>
      <w:bookmarkStart w:id="29" w:name="_Toc6211_WPSOffice_Level2"/>
      <w:bookmarkStart w:id="30" w:name="_Toc32695_WPSOffice_Level2"/>
    </w:p>
    <w:p w14:paraId="414A1395">
      <w:pPr>
        <w:spacing w:line="578" w:lineRule="exact"/>
        <w:jc w:val="center"/>
        <w:rPr>
          <w:rFonts w:hint="eastAsia" w:ascii="黑体" w:hAnsi="ˎ̥" w:eastAsia="黑体"/>
          <w:sz w:val="32"/>
          <w:szCs w:val="32"/>
        </w:rPr>
      </w:pPr>
      <w:r>
        <w:rPr>
          <w:rFonts w:hint="eastAsia" w:ascii="黑体" w:hAnsi="ˎ̥" w:eastAsia="黑体"/>
          <w:sz w:val="32"/>
          <w:szCs w:val="32"/>
        </w:rPr>
        <w:t>第二部分  202</w:t>
      </w:r>
      <w:r>
        <w:rPr>
          <w:rFonts w:ascii="黑体" w:hAnsi="ˎ̥" w:eastAsia="黑体"/>
          <w:sz w:val="32"/>
          <w:szCs w:val="32"/>
        </w:rPr>
        <w:t>3</w:t>
      </w:r>
      <w:r>
        <w:rPr>
          <w:rFonts w:hint="eastAsia" w:ascii="黑体" w:hAnsi="ˎ̥" w:eastAsia="黑体"/>
          <w:sz w:val="32"/>
          <w:szCs w:val="32"/>
        </w:rPr>
        <w:t>年度</w:t>
      </w:r>
      <w:r>
        <w:rPr>
          <w:rFonts w:hint="eastAsia" w:ascii="黑体" w:hAnsi="ˎ̥" w:eastAsia="黑体"/>
          <w:sz w:val="32"/>
          <w:szCs w:val="32"/>
          <w:lang w:val="en-US" w:eastAsia="zh-CN"/>
        </w:rPr>
        <w:t>本级</w:t>
      </w:r>
      <w:r>
        <w:rPr>
          <w:rFonts w:hint="eastAsia" w:ascii="黑体" w:hAnsi="ˎ̥" w:eastAsia="黑体"/>
          <w:sz w:val="32"/>
          <w:szCs w:val="32"/>
        </w:rPr>
        <w:t>决算公开报表</w:t>
      </w:r>
      <w:bookmarkEnd w:id="19"/>
      <w:bookmarkEnd w:id="20"/>
      <w:bookmarkEnd w:id="21"/>
      <w:bookmarkEnd w:id="22"/>
      <w:bookmarkEnd w:id="23"/>
      <w:bookmarkEnd w:id="24"/>
    </w:p>
    <w:p w14:paraId="3BF2EDFE">
      <w:pPr>
        <w:spacing w:line="578" w:lineRule="exact"/>
        <w:ind w:firstLine="645"/>
        <w:rPr>
          <w:rFonts w:hint="eastAsia" w:ascii="黑体" w:hAnsi="黑体" w:eastAsia="黑体" w:cs="黑体"/>
          <w:sz w:val="32"/>
          <w:szCs w:val="32"/>
        </w:rPr>
      </w:pPr>
    </w:p>
    <w:p w14:paraId="5FD32597">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bookmarkStart w:id="119" w:name="_GoBack"/>
      <w:bookmarkEnd w:id="119"/>
    </w:p>
    <w:p w14:paraId="2856AD38">
      <w:pPr>
        <w:spacing w:line="578" w:lineRule="exact"/>
        <w:ind w:firstLine="645"/>
        <w:rPr>
          <w:rFonts w:hint="eastAsia" w:ascii="黑体" w:hAnsi="黑体" w:eastAsia="黑体" w:cs="黑体"/>
          <w:sz w:val="32"/>
          <w:szCs w:val="32"/>
        </w:rPr>
      </w:pPr>
      <w:bookmarkStart w:id="31" w:name="_Toc23139_WPSOffice_Level2"/>
      <w:bookmarkStart w:id="32" w:name="_Toc26621_WPSOffice_Level2"/>
      <w:bookmarkStart w:id="33" w:name="_Toc25608_WPSOffice_Level2"/>
      <w:bookmarkStart w:id="34" w:name="_Toc14349_WPSOffice_Level2"/>
      <w:bookmarkStart w:id="35" w:name="_Toc28622_WPSOffice_Level2"/>
      <w:bookmarkStart w:id="36" w:name="_Toc30334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5489_WPSOffice_Level2"/>
      <w:bookmarkStart w:id="38" w:name="_Toc3262_WPSOffice_Level2"/>
      <w:bookmarkStart w:id="39" w:name="_Toc13854_WPSOffice_Level2"/>
      <w:bookmarkStart w:id="40" w:name="_Toc17858_WPSOffice_Level2"/>
      <w:bookmarkStart w:id="41" w:name="_Toc17626_WPSOffice_Level2"/>
      <w:bookmarkStart w:id="42" w:name="_Toc14658_WPSOffice_Level2"/>
    </w:p>
    <w:p w14:paraId="2E9FC414">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13701_WPSOffice_Level2"/>
      <w:bookmarkStart w:id="44" w:name="_Toc23591_WPSOffice_Level2"/>
      <w:bookmarkStart w:id="45" w:name="_Toc21415_WPSOffice_Level2"/>
      <w:bookmarkStart w:id="46" w:name="_Toc7988_WPSOffice_Level2"/>
      <w:bookmarkStart w:id="47" w:name="_Toc4265_WPSOffice_Level2"/>
      <w:bookmarkStart w:id="48" w:name="_Toc23493_WPSOffice_Level2"/>
    </w:p>
    <w:p w14:paraId="129E77C5">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14:paraId="1ED94A40">
      <w:pPr>
        <w:spacing w:line="578" w:lineRule="exact"/>
        <w:ind w:firstLine="645"/>
        <w:rPr>
          <w:rFonts w:hint="eastAsia" w:ascii="黑体" w:hAnsi="黑体" w:eastAsia="黑体" w:cs="黑体"/>
          <w:sz w:val="32"/>
          <w:szCs w:val="32"/>
        </w:rPr>
      </w:pPr>
      <w:bookmarkStart w:id="49" w:name="_Toc25166_WPSOffice_Level2"/>
      <w:bookmarkStart w:id="50" w:name="_Toc22783_WPSOffice_Level2"/>
      <w:bookmarkStart w:id="51" w:name="_Toc7879_WPSOffice_Level2"/>
      <w:bookmarkStart w:id="52" w:name="_Toc23829_WPSOffice_Level2"/>
      <w:bookmarkStart w:id="53" w:name="_Toc2158_WPSOffice_Level2"/>
      <w:bookmarkStart w:id="54" w:name="_Toc13516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17833_WPSOffice_Level2"/>
      <w:bookmarkStart w:id="56" w:name="_Toc2632_WPSOffice_Level2"/>
      <w:bookmarkStart w:id="57" w:name="_Toc25362_WPSOffice_Level2"/>
      <w:bookmarkStart w:id="58" w:name="_Toc8373_WPSOffice_Level2"/>
      <w:bookmarkStart w:id="59" w:name="_Toc17283_WPSOffice_Level2"/>
      <w:bookmarkStart w:id="60" w:name="_Toc5343_WPSOffice_Level2"/>
    </w:p>
    <w:p w14:paraId="4F2B2DC7">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14:paraId="03D748E6">
      <w:pPr>
        <w:spacing w:line="578" w:lineRule="exact"/>
        <w:ind w:left="1118" w:leftChars="304" w:hanging="480" w:hangingChars="150"/>
        <w:rPr>
          <w:rFonts w:hint="eastAsia" w:ascii="黑体" w:hAnsi="黑体" w:eastAsia="黑体" w:cs="黑体"/>
          <w:sz w:val="32"/>
          <w:szCs w:val="32"/>
        </w:rPr>
      </w:pPr>
      <w:bookmarkStart w:id="61" w:name="_Toc11799_WPSOffice_Level2"/>
      <w:bookmarkStart w:id="62" w:name="_Toc5594_WPSOffice_Level2"/>
      <w:bookmarkStart w:id="63" w:name="_Toc1533_WPSOffice_Level2"/>
      <w:bookmarkStart w:id="64" w:name="_Toc13345_WPSOffice_Level2"/>
      <w:bookmarkStart w:id="65" w:name="_Toc21310_WPSOffice_Level2"/>
      <w:bookmarkStart w:id="66" w:name="_Toc6020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14:paraId="2C4B8AF4">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32C91C06">
      <w:pPr>
        <w:spacing w:line="578" w:lineRule="exact"/>
        <w:ind w:firstLine="640"/>
        <w:rPr>
          <w:rFonts w:hint="eastAsia" w:ascii="黑体" w:hAnsi="黑体" w:eastAsia="黑体" w:cs="黑体"/>
          <w:sz w:val="32"/>
          <w:szCs w:val="32"/>
        </w:rPr>
      </w:pPr>
      <w:bookmarkStart w:id="67" w:name="_Toc29886_WPSOffice_Level2"/>
      <w:bookmarkStart w:id="68" w:name="_Toc9377_WPSOffice_Level2"/>
      <w:bookmarkStart w:id="69" w:name="_Toc19961_WPSOffice_Level2"/>
      <w:bookmarkStart w:id="70" w:name="_Toc1820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14:paraId="203CDB3C">
      <w:pPr>
        <w:spacing w:line="578" w:lineRule="exact"/>
        <w:ind w:firstLine="640"/>
        <w:rPr>
          <w:rFonts w:hint="eastAsia" w:ascii="黑体" w:hAnsi="黑体" w:eastAsia="黑体" w:cs="黑体"/>
          <w:sz w:val="32"/>
          <w:szCs w:val="32"/>
        </w:rPr>
      </w:pPr>
      <w:r>
        <w:rPr>
          <w:rFonts w:hint="eastAsia" w:ascii="黑体" w:hAnsi="黑体" w:eastAsia="黑体" w:cs="黑体"/>
          <w:w w:val="96"/>
          <w:sz w:val="32"/>
          <w:szCs w:val="32"/>
        </w:rPr>
        <w:t xml:space="preserve">以上报表见附件1。   </w:t>
      </w:r>
    </w:p>
    <w:p w14:paraId="780F3C43">
      <w:pPr>
        <w:spacing w:line="578" w:lineRule="exact"/>
        <w:rPr>
          <w:rFonts w:hint="eastAsia" w:ascii="黑体" w:hAnsi="黑体" w:eastAsia="黑体" w:cs="黑体"/>
          <w:sz w:val="32"/>
          <w:szCs w:val="32"/>
        </w:rPr>
      </w:pPr>
    </w:p>
    <w:p w14:paraId="03B74942">
      <w:pPr>
        <w:spacing w:line="578" w:lineRule="exact"/>
        <w:jc w:val="center"/>
        <w:rPr>
          <w:rFonts w:hint="eastAsia" w:ascii="黑体" w:hAnsi="ˎ̥" w:eastAsia="黑体"/>
          <w:sz w:val="32"/>
          <w:szCs w:val="32"/>
        </w:rPr>
      </w:pPr>
      <w:bookmarkStart w:id="71" w:name="_Toc28629_WPSOffice_Level1"/>
      <w:bookmarkStart w:id="72" w:name="_Toc29683_WPSOffice_Level1"/>
      <w:bookmarkStart w:id="73" w:name="_Toc31264_WPSOffice_Level1"/>
      <w:bookmarkStart w:id="74" w:name="_Toc16686_WPSOffice_Level1"/>
      <w:bookmarkStart w:id="75" w:name="_Toc4402_WPSOffice_Level1"/>
      <w:bookmarkStart w:id="76" w:name="_Toc27590_WPSOffice_Level1"/>
      <w:r>
        <w:rPr>
          <w:rFonts w:hint="eastAsia" w:ascii="黑体" w:hAnsi="ˎ̥" w:eastAsia="黑体"/>
          <w:sz w:val="32"/>
          <w:szCs w:val="32"/>
        </w:rPr>
        <w:t>第三部分  202</w:t>
      </w:r>
      <w:r>
        <w:rPr>
          <w:rFonts w:ascii="黑体" w:hAnsi="ˎ̥" w:eastAsia="黑体"/>
          <w:sz w:val="32"/>
          <w:szCs w:val="32"/>
        </w:rPr>
        <w:t>3</w:t>
      </w:r>
      <w:r>
        <w:rPr>
          <w:rFonts w:hint="eastAsia" w:ascii="黑体" w:hAnsi="ˎ̥" w:eastAsia="黑体"/>
          <w:sz w:val="32"/>
          <w:szCs w:val="32"/>
        </w:rPr>
        <w:t>年度部门决算情况说明</w:t>
      </w:r>
      <w:bookmarkEnd w:id="71"/>
      <w:bookmarkEnd w:id="72"/>
      <w:bookmarkEnd w:id="73"/>
      <w:bookmarkEnd w:id="74"/>
      <w:bookmarkEnd w:id="75"/>
      <w:bookmarkEnd w:id="76"/>
    </w:p>
    <w:p w14:paraId="3262C064">
      <w:pPr>
        <w:spacing w:line="578" w:lineRule="exact"/>
        <w:jc w:val="center"/>
        <w:rPr>
          <w:rFonts w:hint="eastAsia" w:ascii="黑体" w:hAnsi="ˎ̥" w:eastAsia="黑体"/>
          <w:sz w:val="32"/>
          <w:szCs w:val="32"/>
        </w:rPr>
      </w:pPr>
    </w:p>
    <w:p w14:paraId="1FF2821C">
      <w:pPr>
        <w:spacing w:line="578" w:lineRule="exact"/>
        <w:ind w:firstLine="640" w:firstLineChars="200"/>
        <w:rPr>
          <w:rFonts w:hint="default" w:ascii="仿宋_GB2312" w:hAnsi="ˎ̥" w:eastAsia="仿宋_GB2312"/>
          <w:sz w:val="32"/>
          <w:szCs w:val="32"/>
          <w:lang w:val="en-US" w:eastAsia="zh-CN"/>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年度收入总计</w:t>
      </w:r>
      <w:r>
        <w:rPr>
          <w:rFonts w:hint="eastAsia" w:ascii="仿宋_GB2312" w:hAnsi="ˎ̥" w:eastAsia="仿宋_GB2312"/>
          <w:sz w:val="32"/>
          <w:szCs w:val="32"/>
          <w:lang w:val="en-US" w:eastAsia="zh-CN"/>
        </w:rPr>
        <w:t>3174.81</w:t>
      </w:r>
      <w:r>
        <w:rPr>
          <w:rFonts w:hint="eastAsia" w:ascii="仿宋_GB2312" w:hAnsi="ˎ̥" w:eastAsia="仿宋_GB2312"/>
          <w:sz w:val="32"/>
          <w:szCs w:val="32"/>
        </w:rPr>
        <w:t>万元，支出总计</w:t>
      </w:r>
      <w:r>
        <w:rPr>
          <w:rFonts w:hint="eastAsia" w:ascii="仿宋_GB2312" w:hAnsi="ˎ̥" w:eastAsia="仿宋_GB2312"/>
          <w:sz w:val="32"/>
          <w:szCs w:val="32"/>
          <w:lang w:val="en-US" w:eastAsia="zh-CN"/>
        </w:rPr>
        <w:t>3163.42</w:t>
      </w:r>
      <w:r>
        <w:rPr>
          <w:rFonts w:hint="eastAsia" w:ascii="仿宋_GB2312" w:hAnsi="ˎ̥" w:eastAsia="仿宋_GB2312"/>
          <w:sz w:val="32"/>
          <w:szCs w:val="32"/>
        </w:rPr>
        <w:t>万元，与202</w:t>
      </w:r>
      <w:r>
        <w:rPr>
          <w:rFonts w:ascii="仿宋_GB2312" w:hAnsi="ˎ̥" w:eastAsia="仿宋_GB2312"/>
          <w:sz w:val="32"/>
          <w:szCs w:val="32"/>
        </w:rPr>
        <w:t>2</w:t>
      </w:r>
      <w:r>
        <w:rPr>
          <w:rFonts w:hint="eastAsia" w:ascii="仿宋_GB2312" w:hAnsi="ˎ̥" w:eastAsia="仿宋_GB2312"/>
          <w:sz w:val="32"/>
          <w:szCs w:val="32"/>
        </w:rPr>
        <w:t>年度相比，收入、支出总计各减少</w:t>
      </w:r>
      <w:r>
        <w:rPr>
          <w:rFonts w:hint="eastAsia" w:ascii="仿宋_GB2312" w:hAnsi="ˎ̥" w:eastAsia="仿宋_GB2312"/>
          <w:sz w:val="32"/>
          <w:szCs w:val="32"/>
          <w:lang w:val="en-US" w:eastAsia="zh-CN"/>
        </w:rPr>
        <w:t>72.65万元和263.96</w:t>
      </w:r>
      <w:r>
        <w:rPr>
          <w:rFonts w:hint="eastAsia" w:ascii="仿宋_GB2312" w:hAnsi="ˎ̥" w:eastAsia="仿宋_GB2312"/>
          <w:sz w:val="32"/>
          <w:szCs w:val="32"/>
        </w:rPr>
        <w:t>万元，</w:t>
      </w:r>
      <w:r>
        <w:rPr>
          <w:rFonts w:hint="eastAsia" w:ascii="仿宋_GB2312" w:hAnsi="ˎ̥" w:eastAsia="仿宋_GB2312"/>
          <w:sz w:val="32"/>
          <w:szCs w:val="32"/>
          <w:lang w:val="en-US" w:eastAsia="zh-CN"/>
        </w:rPr>
        <w:t>分别</w:t>
      </w:r>
      <w:r>
        <w:rPr>
          <w:rFonts w:hint="eastAsia" w:ascii="仿宋_GB2312" w:hAnsi="ˎ̥" w:eastAsia="仿宋_GB2312"/>
          <w:sz w:val="32"/>
          <w:szCs w:val="32"/>
        </w:rPr>
        <w:t>下降</w:t>
      </w:r>
      <w:r>
        <w:rPr>
          <w:rFonts w:hint="eastAsia" w:ascii="仿宋_GB2312" w:hAnsi="ˎ̥" w:eastAsia="仿宋_GB2312"/>
          <w:sz w:val="32"/>
          <w:szCs w:val="32"/>
          <w:lang w:val="en-US" w:eastAsia="zh-CN"/>
        </w:rPr>
        <w:t>21.20%和7.70%</w:t>
      </w:r>
      <w:r>
        <w:rPr>
          <w:rFonts w:hint="eastAsia" w:ascii="仿宋_GB2312" w:hAnsi="ˎ̥" w:eastAsia="仿宋_GB2312"/>
          <w:sz w:val="32"/>
          <w:szCs w:val="32"/>
        </w:rPr>
        <w:t>%。主要原因</w:t>
      </w:r>
      <w:r>
        <w:rPr>
          <w:rFonts w:hint="eastAsia" w:ascii="仿宋_GB2312" w:hAnsi="ˎ̥" w:eastAsia="仿宋_GB2312"/>
          <w:sz w:val="32"/>
          <w:szCs w:val="32"/>
          <w:lang w:val="en-US" w:eastAsia="zh-CN"/>
        </w:rPr>
        <w:t>一是县财政经费紧缺，导致部分账单未能支付；</w:t>
      </w:r>
      <w:r>
        <w:rPr>
          <w:rFonts w:hint="eastAsia" w:ascii="仿宋_GB2312" w:hAnsi="ˎ̥" w:eastAsia="仿宋_GB2312"/>
          <w:color w:val="000000"/>
          <w:sz w:val="32"/>
          <w:szCs w:val="32"/>
          <w:highlight w:val="none"/>
        </w:rPr>
        <w:t>二是</w:t>
      </w:r>
      <w:r>
        <w:rPr>
          <w:rFonts w:hint="eastAsia" w:ascii="仿宋_GB2312" w:hAnsi="ˎ̥" w:eastAsia="仿宋_GB2312"/>
          <w:color w:val="000000"/>
          <w:sz w:val="32"/>
          <w:szCs w:val="32"/>
          <w:highlight w:val="none"/>
          <w:lang w:val="en-US" w:eastAsia="zh-CN"/>
        </w:rPr>
        <w:t>市场监管局合理控制了各项经费开支。</w:t>
      </w:r>
    </w:p>
    <w:p w14:paraId="5E30A979">
      <w:pPr>
        <w:spacing w:line="578" w:lineRule="exact"/>
        <w:ind w:firstLine="640" w:firstLineChars="200"/>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r>
        <w:rPr>
          <w:rFonts w:hint="eastAsia" w:ascii="楷体" w:hAnsi="楷体" w:eastAsia="楷体" w:cs="楷体"/>
          <w:sz w:val="32"/>
          <w:szCs w:val="32"/>
        </w:rPr>
        <w:t>。</w:t>
      </w:r>
    </w:p>
    <w:p w14:paraId="63C77D3A">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eastAsia" w:ascii="仿宋_GB2312" w:hAnsi="ˎ̥" w:eastAsia="仿宋_GB2312"/>
          <w:sz w:val="32"/>
          <w:szCs w:val="32"/>
          <w:lang w:val="en-US" w:eastAsia="zh-CN"/>
        </w:rPr>
        <w:t>3174.81</w:t>
      </w:r>
      <w:r>
        <w:rPr>
          <w:rFonts w:hint="eastAsia" w:ascii="仿宋_GB2312" w:hAnsi="ˎ̥" w:eastAsia="仿宋_GB2312"/>
          <w:sz w:val="32"/>
          <w:szCs w:val="32"/>
        </w:rPr>
        <w:t>万元。</w:t>
      </w:r>
    </w:p>
    <w:p w14:paraId="4A0E92F3">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使用非财政拨款结余</w:t>
      </w:r>
      <w:r>
        <w:rPr>
          <w:rFonts w:hint="eastAsia" w:ascii="仿宋_GB2312" w:hAnsi="ˎ̥" w:eastAsia="仿宋_GB2312"/>
          <w:sz w:val="32"/>
          <w:szCs w:val="32"/>
          <w:lang w:val="en-US" w:eastAsia="zh-CN"/>
        </w:rPr>
        <w:t>0</w:t>
      </w:r>
      <w:r>
        <w:rPr>
          <w:rFonts w:hint="eastAsia" w:ascii="仿宋_GB2312" w:hAnsi="ˎ̥" w:eastAsia="仿宋_GB2312"/>
          <w:sz w:val="32"/>
          <w:szCs w:val="32"/>
        </w:rPr>
        <w:t>万元，较202</w:t>
      </w:r>
      <w:r>
        <w:rPr>
          <w:rFonts w:ascii="仿宋_GB2312" w:hAnsi="ˎ̥" w:eastAsia="仿宋_GB2312"/>
          <w:sz w:val="32"/>
          <w:szCs w:val="32"/>
        </w:rPr>
        <w:t>2</w:t>
      </w:r>
      <w:r>
        <w:rPr>
          <w:rFonts w:hint="eastAsia" w:ascii="仿宋_GB2312" w:hAnsi="ˎ̥" w:eastAsia="仿宋_GB2312"/>
          <w:sz w:val="32"/>
          <w:szCs w:val="32"/>
        </w:rPr>
        <w:t>年度决算数</w:t>
      </w:r>
      <w:r>
        <w:rPr>
          <w:rFonts w:hint="eastAsia" w:ascii="仿宋_GB2312" w:hAnsi="ˎ̥" w:eastAsia="仿宋_GB2312"/>
          <w:sz w:val="32"/>
          <w:szCs w:val="32"/>
          <w:lang w:val="en-US" w:eastAsia="zh-CN"/>
        </w:rPr>
        <w:t>持平</w:t>
      </w:r>
      <w:r>
        <w:rPr>
          <w:rFonts w:hint="eastAsia" w:ascii="仿宋_GB2312" w:hAnsi="ˎ̥" w:eastAsia="仿宋_GB2312"/>
          <w:sz w:val="32"/>
          <w:szCs w:val="32"/>
          <w:lang w:eastAsia="zh-CN"/>
        </w:rPr>
        <w:t>。</w:t>
      </w:r>
      <w:r>
        <w:rPr>
          <w:rFonts w:hint="eastAsia" w:ascii="仿宋_GB2312" w:hAnsi="ˎ̥" w:eastAsia="仿宋_GB2312"/>
          <w:sz w:val="32"/>
          <w:szCs w:val="32"/>
        </w:rPr>
        <w:t>年初结转结余</w:t>
      </w:r>
      <w:r>
        <w:rPr>
          <w:rFonts w:hint="eastAsia" w:ascii="仿宋_GB2312" w:hAnsi="ˎ̥" w:eastAsia="仿宋_GB2312"/>
          <w:sz w:val="32"/>
          <w:szCs w:val="32"/>
          <w:lang w:val="en-US" w:eastAsia="zh-CN"/>
        </w:rPr>
        <w:t>10.46</w:t>
      </w:r>
      <w:r>
        <w:rPr>
          <w:rFonts w:hint="eastAsia" w:ascii="仿宋_GB2312" w:hAnsi="ˎ̥" w:eastAsia="仿宋_GB2312"/>
          <w:sz w:val="32"/>
          <w:szCs w:val="32"/>
        </w:rPr>
        <w:t>万元，主要是</w:t>
      </w:r>
      <w:r>
        <w:rPr>
          <w:rFonts w:hint="eastAsia" w:ascii="仿宋_GB2312" w:hAnsi="ˎ̥" w:eastAsia="仿宋_GB2312"/>
          <w:sz w:val="32"/>
          <w:szCs w:val="32"/>
          <w:lang w:val="en-US" w:eastAsia="zh-CN"/>
        </w:rPr>
        <w:t>基本户的结转结余</w:t>
      </w:r>
      <w:r>
        <w:rPr>
          <w:rFonts w:hint="eastAsia" w:ascii="仿宋_GB2312" w:hAnsi="ˎ̥" w:eastAsia="仿宋_GB2312"/>
          <w:sz w:val="32"/>
          <w:szCs w:val="32"/>
        </w:rPr>
        <w:t>，较2022年度决算数增加（减少）</w:t>
      </w:r>
      <w:r>
        <w:rPr>
          <w:rFonts w:hint="eastAsia" w:ascii="仿宋_GB2312" w:hAnsi="ˎ̥" w:eastAsia="仿宋_GB2312"/>
          <w:sz w:val="32"/>
          <w:szCs w:val="32"/>
          <w:lang w:val="en-US" w:eastAsia="zh-CN"/>
        </w:rPr>
        <w:t>10.46</w:t>
      </w:r>
      <w:r>
        <w:rPr>
          <w:rFonts w:hint="eastAsia" w:ascii="仿宋_GB2312" w:hAnsi="ˎ̥" w:eastAsia="仿宋_GB2312"/>
          <w:sz w:val="32"/>
          <w:szCs w:val="32"/>
        </w:rPr>
        <w:t>万元，增长</w:t>
      </w:r>
      <w:r>
        <w:rPr>
          <w:rFonts w:hint="eastAsia" w:ascii="仿宋_GB2312" w:hAnsi="ˎ̥" w:eastAsia="仿宋_GB2312"/>
          <w:sz w:val="32"/>
          <w:szCs w:val="32"/>
          <w:lang w:val="en-US" w:eastAsia="zh-CN"/>
        </w:rPr>
        <w:t>100</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上年度资金结转</w:t>
      </w:r>
      <w:r>
        <w:rPr>
          <w:rFonts w:hint="eastAsia" w:ascii="仿宋_GB2312" w:hAnsi="ˎ̥" w:eastAsia="仿宋_GB2312"/>
          <w:sz w:val="32"/>
          <w:szCs w:val="32"/>
        </w:rPr>
        <w:t>。</w:t>
      </w:r>
    </w:p>
    <w:p w14:paraId="0A335461">
      <w:pPr>
        <w:spacing w:line="578" w:lineRule="exact"/>
        <w:ind w:firstLine="640" w:firstLineChars="200"/>
        <w:rPr>
          <w:rFonts w:ascii="楷体" w:hAnsi="楷体" w:eastAsia="楷体" w:cs="楷体"/>
          <w:sz w:val="32"/>
          <w:szCs w:val="32"/>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r>
        <w:rPr>
          <w:rFonts w:hint="eastAsia" w:ascii="楷体" w:hAnsi="楷体" w:eastAsia="楷体" w:cs="楷体"/>
          <w:sz w:val="32"/>
          <w:szCs w:val="32"/>
        </w:rPr>
        <w:t>。</w:t>
      </w:r>
    </w:p>
    <w:p w14:paraId="0425B6C3">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本年支出</w:t>
      </w:r>
      <w:r>
        <w:rPr>
          <w:rFonts w:hint="eastAsia" w:ascii="仿宋_GB2312" w:hAnsi="ˎ̥" w:eastAsia="仿宋_GB2312"/>
          <w:sz w:val="32"/>
          <w:szCs w:val="32"/>
          <w:lang w:val="en-US" w:eastAsia="zh-CN"/>
        </w:rPr>
        <w:t>3163.42</w:t>
      </w:r>
      <w:r>
        <w:rPr>
          <w:rFonts w:hint="eastAsia" w:ascii="仿宋_GB2312" w:hAnsi="ˎ̥" w:eastAsia="仿宋_GB2312"/>
          <w:sz w:val="32"/>
          <w:szCs w:val="32"/>
        </w:rPr>
        <w:t>万元。</w:t>
      </w:r>
    </w:p>
    <w:p w14:paraId="661AADCB">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结余分配</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较</w:t>
      </w:r>
      <w:r>
        <w:rPr>
          <w:rFonts w:hint="eastAsia" w:ascii="仿宋_GB2312" w:hAnsi="ˎ̥" w:eastAsia="仿宋_GB2312"/>
          <w:sz w:val="32"/>
          <w:szCs w:val="32"/>
        </w:rPr>
        <w:t>202</w:t>
      </w:r>
      <w:r>
        <w:rPr>
          <w:rFonts w:ascii="仿宋_GB2312" w:hAnsi="ˎ̥" w:eastAsia="仿宋_GB2312"/>
          <w:sz w:val="32"/>
          <w:szCs w:val="32"/>
        </w:rPr>
        <w:t>2</w:t>
      </w:r>
      <w:r>
        <w:rPr>
          <w:rFonts w:hint="eastAsia" w:ascii="仿宋_GB2312" w:hAnsi="ˎ̥" w:eastAsia="仿宋_GB2312"/>
          <w:sz w:val="32"/>
          <w:szCs w:val="32"/>
        </w:rPr>
        <w:t>年度决算数</w:t>
      </w:r>
      <w:r>
        <w:rPr>
          <w:rFonts w:hint="eastAsia" w:ascii="仿宋_GB2312" w:hAnsi="ˎ̥" w:eastAsia="仿宋_GB2312"/>
          <w:sz w:val="32"/>
          <w:szCs w:val="32"/>
          <w:lang w:val="en-US" w:eastAsia="zh-CN"/>
        </w:rPr>
        <w:t>持平</w:t>
      </w:r>
      <w:r>
        <w:rPr>
          <w:rFonts w:hint="eastAsia" w:ascii="仿宋_GB2312" w:hAnsi="ˎ̥" w:eastAsia="仿宋_GB2312"/>
          <w:sz w:val="32"/>
          <w:szCs w:val="32"/>
        </w:rPr>
        <w:t>。</w:t>
      </w:r>
    </w:p>
    <w:p w14:paraId="367494DD">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lang w:val="en-US" w:eastAsia="zh-CN"/>
        </w:rPr>
        <w:t>年末结转结余11.39万元，主要是基本户结转结余，较2022年度决算数增加11.31万元，增长141.38%，主要原因是上年度基本户资金结转结余</w:t>
      </w:r>
      <w:r>
        <w:rPr>
          <w:rFonts w:hint="eastAsia" w:ascii="仿宋_GB2312" w:hAnsi="ˎ̥" w:eastAsia="仿宋_GB2312"/>
          <w:sz w:val="32"/>
          <w:szCs w:val="32"/>
        </w:rPr>
        <w:t>。</w:t>
      </w:r>
    </w:p>
    <w:p w14:paraId="7E13DFD0">
      <w:pPr>
        <w:spacing w:line="578" w:lineRule="exact"/>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年度相关决算数据可取自附件财决公开01、02表；202</w:t>
      </w:r>
      <w:r>
        <w:rPr>
          <w:rFonts w:ascii="仿宋_GB2312" w:hAnsi="ˎ̥" w:eastAsia="仿宋_GB2312"/>
          <w:sz w:val="32"/>
          <w:szCs w:val="32"/>
        </w:rPr>
        <w:t>2</w:t>
      </w:r>
      <w:r>
        <w:rPr>
          <w:rFonts w:hint="eastAsia" w:ascii="仿宋_GB2312" w:hAnsi="ˎ̥" w:eastAsia="仿宋_GB2312"/>
          <w:sz w:val="32"/>
          <w:szCs w:val="32"/>
        </w:rPr>
        <w:t>年度相关决算数据可取自202</w:t>
      </w:r>
      <w:r>
        <w:rPr>
          <w:rFonts w:ascii="仿宋_GB2312" w:hAnsi="ˎ̥" w:eastAsia="仿宋_GB2312"/>
          <w:sz w:val="32"/>
          <w:szCs w:val="32"/>
        </w:rPr>
        <w:t>2</w:t>
      </w:r>
      <w:r>
        <w:rPr>
          <w:rFonts w:hint="eastAsia" w:ascii="仿宋_GB2312" w:hAnsi="ˎ̥" w:eastAsia="仿宋_GB2312"/>
          <w:sz w:val="32"/>
          <w:szCs w:val="32"/>
        </w:rPr>
        <w:t>年度部门决算报表财决01表《收入支出决算总表》）</w:t>
      </w:r>
    </w:p>
    <w:p w14:paraId="2240E8B9">
      <w:pPr>
        <w:spacing w:line="578" w:lineRule="exact"/>
        <w:ind w:firstLine="640" w:firstLineChars="200"/>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eastAsia" w:ascii="仿宋_GB2312" w:hAnsi="ˎ̥" w:eastAsia="仿宋_GB2312"/>
          <w:sz w:val="32"/>
          <w:szCs w:val="32"/>
          <w:lang w:val="en-US" w:eastAsia="zh-CN"/>
        </w:rPr>
        <w:t>3174.81</w:t>
      </w:r>
      <w:r>
        <w:rPr>
          <w:rFonts w:hint="eastAsia" w:ascii="仿宋_GB2312" w:hAnsi="ˎ̥" w:eastAsia="仿宋_GB2312"/>
          <w:sz w:val="32"/>
          <w:szCs w:val="32"/>
        </w:rPr>
        <w:t>万元，其中：财政拨款收入</w:t>
      </w:r>
      <w:r>
        <w:rPr>
          <w:rFonts w:hint="eastAsia" w:ascii="仿宋_GB2312" w:hAnsi="ˎ̥" w:eastAsia="仿宋_GB2312"/>
          <w:sz w:val="32"/>
          <w:szCs w:val="32"/>
          <w:lang w:val="en-US" w:eastAsia="zh-CN"/>
        </w:rPr>
        <w:t>3163.42</w:t>
      </w:r>
      <w:r>
        <w:rPr>
          <w:rFonts w:hint="eastAsia" w:ascii="仿宋_GB2312" w:hAnsi="ˎ̥" w:eastAsia="仿宋_GB2312"/>
          <w:sz w:val="32"/>
          <w:szCs w:val="32"/>
        </w:rPr>
        <w:t>万元，占</w:t>
      </w:r>
      <w:r>
        <w:rPr>
          <w:rFonts w:hint="eastAsia" w:ascii="仿宋_GB2312" w:hAnsi="ˎ̥" w:eastAsia="仿宋_GB2312"/>
          <w:sz w:val="32"/>
          <w:szCs w:val="32"/>
          <w:lang w:val="en-US" w:eastAsia="zh-CN"/>
        </w:rPr>
        <w:t>99.64</w:t>
      </w:r>
      <w:r>
        <w:rPr>
          <w:rFonts w:hint="eastAsia" w:ascii="仿宋_GB2312" w:hAnsi="ˎ̥" w:eastAsia="仿宋_GB2312"/>
          <w:sz w:val="32"/>
          <w:szCs w:val="32"/>
        </w:rPr>
        <w:t>%；上级补助收入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%；事业收入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%；附属单位上缴收入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%；其他收入</w:t>
      </w:r>
      <w:r>
        <w:rPr>
          <w:rFonts w:hint="eastAsia" w:ascii="仿宋_GB2312" w:hAnsi="ˎ̥" w:eastAsia="仿宋_GB2312"/>
          <w:sz w:val="32"/>
          <w:szCs w:val="32"/>
          <w:lang w:val="en-US" w:eastAsia="zh-CN"/>
        </w:rPr>
        <w:t>0.93</w:t>
      </w:r>
      <w:r>
        <w:rPr>
          <w:rFonts w:hint="eastAsia" w:ascii="仿宋_GB2312" w:hAnsi="ˎ̥" w:eastAsia="仿宋_GB2312"/>
          <w:sz w:val="32"/>
          <w:szCs w:val="32"/>
        </w:rPr>
        <w:t>万元。</w:t>
      </w:r>
    </w:p>
    <w:p w14:paraId="34505362">
      <w:pPr>
        <w:spacing w:line="578" w:lineRule="exact"/>
        <w:ind w:left="412" w:leftChars="196"/>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eastAsia" w:ascii="仿宋_GB2312" w:hAnsi="ˎ̥" w:eastAsia="仿宋_GB2312"/>
          <w:sz w:val="32"/>
          <w:szCs w:val="32"/>
        </w:rPr>
        <w:t>上述各项收入数字可取自财决公开02表）</w:t>
      </w:r>
    </w:p>
    <w:p w14:paraId="5E844F58">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三、支出决算情况说明</w:t>
      </w:r>
    </w:p>
    <w:p w14:paraId="77AA3170">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本年支出</w:t>
      </w:r>
      <w:r>
        <w:rPr>
          <w:rFonts w:hint="eastAsia" w:ascii="仿宋_GB2312" w:hAnsi="ˎ̥" w:eastAsia="仿宋_GB2312"/>
          <w:sz w:val="32"/>
          <w:szCs w:val="32"/>
          <w:lang w:val="en-US" w:eastAsia="zh-CN"/>
        </w:rPr>
        <w:t>3163.42</w:t>
      </w:r>
      <w:r>
        <w:rPr>
          <w:rFonts w:hint="eastAsia" w:ascii="仿宋_GB2312" w:hAnsi="ˎ̥" w:eastAsia="仿宋_GB2312"/>
          <w:sz w:val="32"/>
          <w:szCs w:val="32"/>
        </w:rPr>
        <w:t>万元，其中：基本支出</w:t>
      </w:r>
      <w:r>
        <w:rPr>
          <w:rFonts w:hint="eastAsia" w:ascii="仿宋_GB2312" w:hAnsi="ˎ̥" w:eastAsia="仿宋_GB2312"/>
          <w:sz w:val="32"/>
          <w:szCs w:val="32"/>
          <w:lang w:val="en-US" w:eastAsia="zh-CN"/>
        </w:rPr>
        <w:t>2837.06</w:t>
      </w:r>
      <w:r>
        <w:rPr>
          <w:rFonts w:hint="eastAsia" w:ascii="仿宋_GB2312" w:hAnsi="ˎ̥" w:eastAsia="仿宋_GB2312"/>
          <w:sz w:val="32"/>
          <w:szCs w:val="32"/>
        </w:rPr>
        <w:t>万元，占</w:t>
      </w:r>
      <w:r>
        <w:rPr>
          <w:rFonts w:hint="eastAsia" w:ascii="仿宋_GB2312" w:hAnsi="ˎ̥" w:eastAsia="仿宋_GB2312"/>
          <w:sz w:val="32"/>
          <w:szCs w:val="32"/>
          <w:lang w:val="en-US" w:eastAsia="zh-CN"/>
        </w:rPr>
        <w:t>89.68</w:t>
      </w:r>
      <w:r>
        <w:rPr>
          <w:rFonts w:hint="eastAsia" w:ascii="仿宋_GB2312" w:hAnsi="ˎ̥" w:eastAsia="仿宋_GB2312"/>
          <w:sz w:val="32"/>
          <w:szCs w:val="32"/>
        </w:rPr>
        <w:t>%；项目支出</w:t>
      </w:r>
      <w:r>
        <w:rPr>
          <w:rFonts w:hint="eastAsia" w:ascii="仿宋_GB2312" w:hAnsi="ˎ̥" w:eastAsia="仿宋_GB2312"/>
          <w:sz w:val="32"/>
          <w:szCs w:val="32"/>
          <w:lang w:val="en-US" w:eastAsia="zh-CN"/>
        </w:rPr>
        <w:t>326.36</w:t>
      </w:r>
      <w:r>
        <w:rPr>
          <w:rFonts w:hint="eastAsia" w:ascii="仿宋_GB2312" w:hAnsi="ˎ̥" w:eastAsia="仿宋_GB2312"/>
          <w:sz w:val="32"/>
          <w:szCs w:val="32"/>
        </w:rPr>
        <w:t>万元，占</w:t>
      </w:r>
      <w:r>
        <w:rPr>
          <w:rFonts w:hint="eastAsia" w:ascii="仿宋_GB2312" w:hAnsi="ˎ̥" w:eastAsia="仿宋_GB2312"/>
          <w:sz w:val="32"/>
          <w:szCs w:val="32"/>
          <w:lang w:val="en-US" w:eastAsia="zh-CN"/>
        </w:rPr>
        <w:t>10.32</w:t>
      </w:r>
      <w:r>
        <w:rPr>
          <w:rFonts w:hint="eastAsia" w:ascii="仿宋_GB2312" w:hAnsi="ˎ̥" w:eastAsia="仿宋_GB2312"/>
          <w:sz w:val="32"/>
          <w:szCs w:val="32"/>
        </w:rPr>
        <w:t>%；上缴上级支出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%；对附属单位补助支出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3FE4CB63">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上述各项支出数字可取自财决公开03表）</w:t>
      </w:r>
    </w:p>
    <w:p w14:paraId="4DED0E4A">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0533344F">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年度财政拨款收入</w:t>
      </w:r>
      <w:r>
        <w:rPr>
          <w:rFonts w:hint="eastAsia" w:ascii="仿宋_GB2312" w:hAnsi="ˎ̥" w:eastAsia="仿宋_GB2312"/>
          <w:sz w:val="32"/>
          <w:szCs w:val="32"/>
          <w:lang w:val="en-US" w:eastAsia="zh-CN"/>
        </w:rPr>
        <w:t>3163.42</w:t>
      </w:r>
      <w:r>
        <w:rPr>
          <w:rFonts w:hint="eastAsia" w:ascii="仿宋_GB2312" w:hAnsi="ˎ̥" w:eastAsia="仿宋_GB2312"/>
          <w:sz w:val="32"/>
          <w:szCs w:val="32"/>
        </w:rPr>
        <w:t>万元，支出</w:t>
      </w:r>
      <w:r>
        <w:rPr>
          <w:rFonts w:hint="eastAsia" w:ascii="仿宋_GB2312" w:hAnsi="ˎ̥" w:eastAsia="仿宋_GB2312"/>
          <w:sz w:val="32"/>
          <w:szCs w:val="32"/>
          <w:lang w:val="en-US" w:eastAsia="zh-CN"/>
        </w:rPr>
        <w:t>3163.42</w:t>
      </w:r>
      <w:r>
        <w:rPr>
          <w:rFonts w:hint="eastAsia" w:ascii="仿宋_GB2312" w:hAnsi="ˎ̥" w:eastAsia="仿宋_GB2312"/>
          <w:sz w:val="32"/>
          <w:szCs w:val="32"/>
        </w:rPr>
        <w:t>万元。与202</w:t>
      </w:r>
      <w:r>
        <w:rPr>
          <w:rFonts w:ascii="仿宋_GB2312" w:hAnsi="ˎ̥" w:eastAsia="仿宋_GB2312"/>
          <w:sz w:val="32"/>
          <w:szCs w:val="32"/>
        </w:rPr>
        <w:t>2</w:t>
      </w:r>
      <w:r>
        <w:rPr>
          <w:rFonts w:hint="eastAsia" w:ascii="仿宋_GB2312" w:hAnsi="ˎ̥" w:eastAsia="仿宋_GB2312"/>
          <w:sz w:val="32"/>
          <w:szCs w:val="32"/>
        </w:rPr>
        <w:t>年度相比，财政拨款收入减少</w:t>
      </w:r>
      <w:r>
        <w:rPr>
          <w:rFonts w:hint="eastAsia" w:ascii="仿宋_GB2312" w:hAnsi="ˎ̥" w:eastAsia="仿宋_GB2312"/>
          <w:sz w:val="32"/>
          <w:szCs w:val="32"/>
          <w:lang w:val="en-US" w:eastAsia="zh-CN"/>
        </w:rPr>
        <w:t>263.96</w:t>
      </w:r>
      <w:r>
        <w:rPr>
          <w:rFonts w:hint="eastAsia" w:ascii="仿宋_GB2312" w:hAnsi="ˎ̥" w:eastAsia="仿宋_GB2312"/>
          <w:sz w:val="32"/>
          <w:szCs w:val="32"/>
        </w:rPr>
        <w:t>万元，下降</w:t>
      </w:r>
      <w:r>
        <w:rPr>
          <w:rFonts w:hint="eastAsia" w:ascii="仿宋_GB2312" w:hAnsi="ˎ̥" w:eastAsia="仿宋_GB2312"/>
          <w:sz w:val="32"/>
          <w:szCs w:val="32"/>
          <w:lang w:val="en-US" w:eastAsia="zh-CN"/>
        </w:rPr>
        <w:t>7.70</w:t>
      </w:r>
      <w:r>
        <w:rPr>
          <w:rFonts w:hint="eastAsia" w:ascii="仿宋_GB2312" w:hAnsi="ˎ̥" w:eastAsia="仿宋_GB2312"/>
          <w:sz w:val="32"/>
          <w:szCs w:val="32"/>
        </w:rPr>
        <w:t>%，主要原因：一是</w:t>
      </w:r>
      <w:r>
        <w:rPr>
          <w:rFonts w:hint="eastAsia" w:ascii="仿宋_GB2312" w:hAnsi="ˎ̥" w:eastAsia="仿宋_GB2312"/>
          <w:sz w:val="32"/>
          <w:szCs w:val="32"/>
          <w:lang w:val="en-US" w:eastAsia="zh-CN"/>
        </w:rPr>
        <w:t>县财政资金紧张压减了相关经费</w:t>
      </w:r>
      <w:r>
        <w:rPr>
          <w:rFonts w:hint="eastAsia" w:ascii="仿宋_GB2312" w:hAnsi="ˎ̥" w:eastAsia="仿宋_GB2312"/>
          <w:sz w:val="32"/>
          <w:szCs w:val="32"/>
        </w:rPr>
        <w:t>；支出增加（减少）</w:t>
      </w:r>
      <w:r>
        <w:rPr>
          <w:rFonts w:hint="eastAsia" w:ascii="仿宋_GB2312" w:hAnsi="ˎ̥" w:eastAsia="仿宋_GB2312"/>
          <w:sz w:val="32"/>
          <w:szCs w:val="32"/>
          <w:lang w:val="en-US" w:eastAsia="zh-CN"/>
        </w:rPr>
        <w:t>263.96</w:t>
      </w:r>
      <w:r>
        <w:rPr>
          <w:rFonts w:hint="eastAsia" w:ascii="仿宋_GB2312" w:hAnsi="ˎ̥" w:eastAsia="仿宋_GB2312"/>
          <w:sz w:val="32"/>
          <w:szCs w:val="32"/>
        </w:rPr>
        <w:t>万元，下降</w:t>
      </w:r>
      <w:r>
        <w:rPr>
          <w:rFonts w:hint="eastAsia" w:ascii="仿宋_GB2312" w:hAnsi="ˎ̥" w:eastAsia="仿宋_GB2312"/>
          <w:sz w:val="32"/>
          <w:szCs w:val="32"/>
          <w:lang w:val="en-US" w:eastAsia="zh-CN"/>
        </w:rPr>
        <w:t>7.70</w:t>
      </w:r>
      <w:r>
        <w:rPr>
          <w:rFonts w:hint="eastAsia" w:ascii="仿宋_GB2312" w:hAnsi="ˎ̥" w:eastAsia="仿宋_GB2312"/>
          <w:sz w:val="32"/>
          <w:szCs w:val="32"/>
        </w:rPr>
        <w:t>%，主要原因：一是</w:t>
      </w:r>
      <w:r>
        <w:rPr>
          <w:rFonts w:hint="eastAsia" w:ascii="仿宋_GB2312" w:hAnsi="ˎ̥" w:eastAsia="仿宋_GB2312"/>
          <w:sz w:val="32"/>
          <w:szCs w:val="32"/>
          <w:lang w:val="en-US" w:eastAsia="zh-CN"/>
        </w:rPr>
        <w:t>县财政资金紧张，部分账单未能及时支付</w:t>
      </w:r>
      <w:r>
        <w:rPr>
          <w:rFonts w:hint="eastAsia" w:ascii="仿宋_GB2312" w:hAnsi="ˎ̥" w:eastAsia="仿宋_GB2312"/>
          <w:sz w:val="32"/>
          <w:szCs w:val="32"/>
        </w:rPr>
        <w:t>；二是</w:t>
      </w:r>
      <w:r>
        <w:rPr>
          <w:rFonts w:hint="eastAsia" w:ascii="仿宋_GB2312" w:hAnsi="ˎ̥" w:eastAsia="仿宋_GB2312"/>
          <w:sz w:val="32"/>
          <w:szCs w:val="32"/>
          <w:lang w:val="en-US" w:eastAsia="zh-CN"/>
        </w:rPr>
        <w:t>县市场监督管理局合理控制各项开支</w:t>
      </w:r>
      <w:r>
        <w:rPr>
          <w:rFonts w:hint="eastAsia" w:ascii="仿宋_GB2312" w:hAnsi="ˎ̥" w:eastAsia="仿宋_GB2312"/>
          <w:sz w:val="32"/>
          <w:szCs w:val="32"/>
        </w:rPr>
        <w:t>。</w:t>
      </w:r>
    </w:p>
    <w:p w14:paraId="5E9D1EA3">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hint="eastAsia" w:ascii="仿宋_GB2312" w:hAnsi="ˎ̥" w:eastAsia="仿宋_GB2312"/>
          <w:sz w:val="32"/>
          <w:szCs w:val="32"/>
          <w:lang w:val="en-US" w:eastAsia="zh-CN"/>
        </w:rPr>
        <w:t>0</w:t>
      </w:r>
      <w:r>
        <w:rPr>
          <w:rFonts w:hint="eastAsia" w:ascii="仿宋_GB2312" w:hAnsi="ˎ̥" w:eastAsia="仿宋_GB2312"/>
          <w:sz w:val="32"/>
          <w:szCs w:val="32"/>
        </w:rPr>
        <w:t>万元，较202</w:t>
      </w:r>
      <w:r>
        <w:rPr>
          <w:rFonts w:ascii="仿宋_GB2312" w:hAnsi="ˎ̥" w:eastAsia="仿宋_GB2312"/>
          <w:sz w:val="32"/>
          <w:szCs w:val="32"/>
        </w:rPr>
        <w:t>2</w:t>
      </w:r>
      <w:r>
        <w:rPr>
          <w:rFonts w:hint="eastAsia" w:ascii="仿宋_GB2312" w:hAnsi="ˎ̥" w:eastAsia="仿宋_GB2312"/>
          <w:sz w:val="32"/>
          <w:szCs w:val="32"/>
        </w:rPr>
        <w:t>年度决算</w:t>
      </w:r>
      <w:r>
        <w:rPr>
          <w:rFonts w:hint="eastAsia" w:ascii="仿宋_GB2312" w:hAnsi="ˎ̥" w:eastAsia="仿宋_GB2312"/>
          <w:sz w:val="32"/>
          <w:szCs w:val="32"/>
          <w:lang w:val="en-US" w:eastAsia="zh-CN"/>
        </w:rPr>
        <w:t>数持平</w:t>
      </w:r>
      <w:r>
        <w:rPr>
          <w:rFonts w:hint="eastAsia" w:ascii="仿宋_GB2312" w:hAnsi="ˎ̥" w:eastAsia="仿宋_GB2312"/>
          <w:sz w:val="32"/>
          <w:szCs w:val="32"/>
          <w:lang w:eastAsia="zh-CN"/>
        </w:rPr>
        <w:t>。</w:t>
      </w:r>
    </w:p>
    <w:p w14:paraId="091BB614">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较202</w:t>
      </w:r>
      <w:r>
        <w:rPr>
          <w:rFonts w:ascii="仿宋_GB2312" w:hAnsi="ˎ̥" w:eastAsia="仿宋_GB2312"/>
          <w:sz w:val="32"/>
          <w:szCs w:val="32"/>
        </w:rPr>
        <w:t>2</w:t>
      </w:r>
      <w:r>
        <w:rPr>
          <w:rFonts w:hint="eastAsia" w:ascii="仿宋_GB2312" w:hAnsi="ˎ̥" w:eastAsia="仿宋_GB2312"/>
          <w:sz w:val="32"/>
          <w:szCs w:val="32"/>
        </w:rPr>
        <w:t>年度决算数</w:t>
      </w:r>
      <w:r>
        <w:rPr>
          <w:rFonts w:hint="eastAsia" w:ascii="仿宋_GB2312" w:hAnsi="ˎ̥" w:eastAsia="仿宋_GB2312"/>
          <w:sz w:val="32"/>
          <w:szCs w:val="32"/>
          <w:lang w:val="en-US" w:eastAsia="zh-CN"/>
        </w:rPr>
        <w:t>持平</w:t>
      </w:r>
      <w:r>
        <w:rPr>
          <w:rFonts w:hint="eastAsia" w:ascii="仿宋_GB2312" w:hAnsi="ˎ̥" w:eastAsia="仿宋_GB2312"/>
          <w:sz w:val="32"/>
          <w:szCs w:val="32"/>
        </w:rPr>
        <w:t>。</w:t>
      </w:r>
    </w:p>
    <w:p w14:paraId="7BAEDE1D">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年度决算相关数据可取自财决公开04表。202</w:t>
      </w:r>
      <w:r>
        <w:rPr>
          <w:rFonts w:ascii="仿宋_GB2312" w:hAnsi="ˎ̥" w:eastAsia="仿宋_GB2312"/>
          <w:sz w:val="32"/>
          <w:szCs w:val="32"/>
        </w:rPr>
        <w:t>2</w:t>
      </w:r>
      <w:r>
        <w:rPr>
          <w:rFonts w:hint="eastAsia" w:ascii="仿宋_GB2312" w:hAnsi="ˎ̥" w:eastAsia="仿宋_GB2312"/>
          <w:sz w:val="32"/>
          <w:szCs w:val="32"/>
        </w:rPr>
        <w:t>年度决算相关数据可取自202</w:t>
      </w:r>
      <w:r>
        <w:rPr>
          <w:rFonts w:ascii="仿宋_GB2312" w:hAnsi="ˎ̥" w:eastAsia="仿宋_GB2312"/>
          <w:sz w:val="32"/>
          <w:szCs w:val="32"/>
        </w:rPr>
        <w:t>2</w:t>
      </w:r>
      <w:r>
        <w:rPr>
          <w:rFonts w:hint="eastAsia" w:ascii="仿宋_GB2312" w:hAnsi="ˎ̥" w:eastAsia="仿宋_GB2312"/>
          <w:sz w:val="32"/>
          <w:szCs w:val="32"/>
        </w:rPr>
        <w:t>年度部门决算报表财决01-1表《财政拨款收入支出决算总表》）</w:t>
      </w:r>
    </w:p>
    <w:p w14:paraId="393C406F">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5CAF3E54">
      <w:pPr>
        <w:spacing w:line="578" w:lineRule="exact"/>
        <w:ind w:firstLine="640" w:firstLineChars="200"/>
        <w:rPr>
          <w:rFonts w:hint="eastAsia" w:ascii="楷体" w:hAnsi="楷体" w:eastAsia="楷体" w:cs="楷体"/>
          <w:sz w:val="32"/>
          <w:szCs w:val="32"/>
        </w:rPr>
      </w:pPr>
      <w:bookmarkStart w:id="77" w:name="_Toc17398_WPSOffice_Level2"/>
      <w:bookmarkStart w:id="78" w:name="_Toc13694_WPSOffice_Level2"/>
      <w:bookmarkStart w:id="79" w:name="_Toc19665_WPSOffice_Level2"/>
      <w:bookmarkStart w:id="80" w:name="_Toc23005_WPSOffice_Level2"/>
      <w:bookmarkStart w:id="81" w:name="_Toc21737_WPSOffice_Level2"/>
      <w:bookmarkStart w:id="82" w:name="_Toc9989_WPSOffice_Level2"/>
      <w:r>
        <w:rPr>
          <w:rFonts w:hint="eastAsia" w:ascii="楷体" w:hAnsi="楷体" w:eastAsia="楷体" w:cs="楷体"/>
          <w:sz w:val="32"/>
          <w:szCs w:val="32"/>
        </w:rPr>
        <w:t>（一）一般公共预算财政拨款支出决算总体情况</w:t>
      </w:r>
      <w:bookmarkEnd w:id="77"/>
      <w:bookmarkEnd w:id="78"/>
      <w:r>
        <w:rPr>
          <w:rFonts w:hint="eastAsia" w:ascii="楷体" w:hAnsi="楷体" w:eastAsia="楷体" w:cs="楷体"/>
          <w:sz w:val="32"/>
          <w:szCs w:val="32"/>
        </w:rPr>
        <w:t>。</w:t>
      </w:r>
      <w:bookmarkEnd w:id="79"/>
      <w:bookmarkEnd w:id="80"/>
      <w:bookmarkEnd w:id="81"/>
      <w:bookmarkEnd w:id="82"/>
    </w:p>
    <w:p w14:paraId="2ED26740">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年度一般公共预算财政拨款支出</w:t>
      </w:r>
      <w:r>
        <w:rPr>
          <w:rFonts w:hint="eastAsia" w:ascii="仿宋_GB2312" w:hAnsi="ˎ̥" w:eastAsia="仿宋_GB2312"/>
          <w:sz w:val="32"/>
          <w:szCs w:val="32"/>
          <w:lang w:val="en-US" w:eastAsia="zh-CN"/>
        </w:rPr>
        <w:t>3163.42</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100</w:t>
      </w:r>
      <w:r>
        <w:rPr>
          <w:rFonts w:hint="eastAsia" w:ascii="仿宋_GB2312" w:hAnsi="ˎ̥" w:eastAsia="仿宋_GB2312"/>
          <w:sz w:val="32"/>
          <w:szCs w:val="32"/>
        </w:rPr>
        <w:t>%。与2022年度相比，一般公共预算财政拨款支出减少</w:t>
      </w:r>
      <w:r>
        <w:rPr>
          <w:rFonts w:hint="eastAsia" w:ascii="仿宋_GB2312" w:hAnsi="ˎ̥" w:eastAsia="仿宋_GB2312"/>
          <w:sz w:val="32"/>
          <w:szCs w:val="32"/>
          <w:lang w:val="en-US" w:eastAsia="zh-CN"/>
        </w:rPr>
        <w:t>187.66</w:t>
      </w:r>
      <w:r>
        <w:rPr>
          <w:rFonts w:hint="eastAsia" w:ascii="仿宋_GB2312" w:hAnsi="ˎ̥" w:eastAsia="仿宋_GB2312"/>
          <w:sz w:val="32"/>
          <w:szCs w:val="32"/>
        </w:rPr>
        <w:t>万元，下降</w:t>
      </w:r>
      <w:r>
        <w:rPr>
          <w:rFonts w:hint="eastAsia" w:ascii="仿宋_GB2312" w:hAnsi="ˎ̥" w:eastAsia="仿宋_GB2312"/>
          <w:sz w:val="32"/>
          <w:szCs w:val="32"/>
          <w:lang w:val="en-US" w:eastAsia="zh-CN"/>
        </w:rPr>
        <w:t>5.60</w:t>
      </w:r>
      <w:r>
        <w:rPr>
          <w:rFonts w:hint="eastAsia" w:ascii="仿宋_GB2312" w:hAnsi="ˎ̥" w:eastAsia="仿宋_GB2312"/>
          <w:sz w:val="32"/>
          <w:szCs w:val="32"/>
        </w:rPr>
        <w:t>%，主要原因是一是</w:t>
      </w:r>
      <w:r>
        <w:rPr>
          <w:rFonts w:hint="eastAsia" w:ascii="仿宋_GB2312" w:hAnsi="ˎ̥" w:eastAsia="仿宋_GB2312"/>
          <w:sz w:val="32"/>
          <w:szCs w:val="32"/>
          <w:lang w:val="en-US" w:eastAsia="zh-CN"/>
        </w:rPr>
        <w:t>县财政资金紧张，部分账单未能及时支付</w:t>
      </w:r>
      <w:r>
        <w:rPr>
          <w:rFonts w:hint="eastAsia" w:ascii="仿宋_GB2312" w:hAnsi="ˎ̥" w:eastAsia="仿宋_GB2312"/>
          <w:sz w:val="32"/>
          <w:szCs w:val="32"/>
        </w:rPr>
        <w:t>；二是</w:t>
      </w:r>
      <w:r>
        <w:rPr>
          <w:rFonts w:hint="eastAsia" w:ascii="仿宋_GB2312" w:hAnsi="ˎ̥" w:eastAsia="仿宋_GB2312"/>
          <w:sz w:val="32"/>
          <w:szCs w:val="32"/>
          <w:lang w:val="en-US" w:eastAsia="zh-CN"/>
        </w:rPr>
        <w:t>县市场监督管理局合理控制各项开支</w:t>
      </w:r>
      <w:r>
        <w:rPr>
          <w:rFonts w:hint="eastAsia" w:ascii="仿宋_GB2312" w:hAnsi="ˎ̥" w:eastAsia="仿宋_GB2312"/>
          <w:sz w:val="32"/>
          <w:szCs w:val="32"/>
        </w:rPr>
        <w:t>。</w:t>
      </w:r>
    </w:p>
    <w:p w14:paraId="37AE1B63">
      <w:pPr>
        <w:spacing w:line="578" w:lineRule="exact"/>
        <w:ind w:firstLine="640" w:firstLineChars="200"/>
        <w:rPr>
          <w:rFonts w:hint="eastAsia" w:ascii="楷体" w:hAnsi="楷体" w:eastAsia="楷体" w:cs="楷体"/>
          <w:sz w:val="32"/>
          <w:szCs w:val="32"/>
        </w:rPr>
      </w:pPr>
      <w:bookmarkStart w:id="83" w:name="_Toc18793_WPSOffice_Level2"/>
      <w:bookmarkStart w:id="84" w:name="_Toc2711_WPSOffice_Level2"/>
      <w:bookmarkStart w:id="85" w:name="_Toc27767_WPSOffice_Level2"/>
      <w:bookmarkStart w:id="86" w:name="_Toc19535_WPSOffice_Level2"/>
      <w:bookmarkStart w:id="87" w:name="_Toc23864_WPSOffice_Level2"/>
      <w:bookmarkStart w:id="88" w:name="_Toc19075_WPSOffice_Level2"/>
      <w:r>
        <w:rPr>
          <w:rFonts w:hint="eastAsia" w:ascii="楷体" w:hAnsi="楷体" w:eastAsia="楷体" w:cs="楷体"/>
          <w:sz w:val="32"/>
          <w:szCs w:val="32"/>
        </w:rPr>
        <w:t>（二）一般公共预算财政拨款支出决算结构情况</w:t>
      </w:r>
      <w:bookmarkEnd w:id="83"/>
      <w:bookmarkEnd w:id="84"/>
      <w:r>
        <w:rPr>
          <w:rFonts w:hint="eastAsia" w:ascii="楷体" w:hAnsi="楷体" w:eastAsia="楷体" w:cs="楷体"/>
          <w:sz w:val="32"/>
          <w:szCs w:val="32"/>
        </w:rPr>
        <w:t>。</w:t>
      </w:r>
      <w:bookmarkEnd w:id="85"/>
      <w:bookmarkEnd w:id="86"/>
      <w:bookmarkEnd w:id="87"/>
      <w:bookmarkEnd w:id="88"/>
    </w:p>
    <w:p w14:paraId="243C6341">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年度一般公共预算财政拨款支出</w:t>
      </w:r>
      <w:r>
        <w:rPr>
          <w:rFonts w:hint="eastAsia" w:ascii="仿宋_GB2312" w:hAnsi="ˎ̥" w:eastAsia="仿宋_GB2312"/>
          <w:sz w:val="32"/>
          <w:szCs w:val="32"/>
          <w:lang w:val="en-US" w:eastAsia="zh-CN"/>
        </w:rPr>
        <w:t>3163.42</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w:t>
      </w:r>
      <w:r>
        <w:rPr>
          <w:rFonts w:hint="eastAsia" w:ascii="仿宋_GB2312" w:hAnsi="ˎ̥" w:eastAsia="仿宋_GB2312"/>
          <w:sz w:val="32"/>
          <w:szCs w:val="32"/>
          <w:lang w:val="en-US" w:eastAsia="zh-CN"/>
        </w:rPr>
        <w:t>2326.94</w:t>
      </w:r>
      <w:r>
        <w:rPr>
          <w:rFonts w:hint="eastAsia" w:ascii="仿宋_GB2312" w:hAnsi="ˎ̥" w:eastAsia="仿宋_GB2312"/>
          <w:sz w:val="32"/>
          <w:szCs w:val="32"/>
        </w:rPr>
        <w:t>万元，占</w:t>
      </w:r>
      <w:r>
        <w:rPr>
          <w:rFonts w:hint="eastAsia" w:ascii="仿宋_GB2312" w:hAnsi="ˎ̥" w:eastAsia="仿宋_GB2312"/>
          <w:sz w:val="32"/>
          <w:szCs w:val="32"/>
          <w:lang w:val="en-US" w:eastAsia="zh-CN"/>
        </w:rPr>
        <w:t>73.56</w:t>
      </w:r>
      <w:r>
        <w:rPr>
          <w:rFonts w:hint="eastAsia" w:ascii="仿宋_GB2312" w:hAnsi="ˎ̥" w:eastAsia="仿宋_GB2312"/>
          <w:sz w:val="32"/>
          <w:szCs w:val="32"/>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sz w:val="32"/>
          <w:szCs w:val="32"/>
          <w:lang w:val="en-US" w:eastAsia="zh-CN"/>
        </w:rPr>
        <w:t>329.51</w:t>
      </w:r>
      <w:r>
        <w:rPr>
          <w:rFonts w:hint="eastAsia" w:ascii="仿宋_GB2312" w:hAnsi="ˎ̥" w:eastAsia="仿宋_GB2312"/>
          <w:sz w:val="32"/>
          <w:szCs w:val="32"/>
        </w:rPr>
        <w:t>万元，占</w:t>
      </w:r>
      <w:r>
        <w:rPr>
          <w:rFonts w:hint="eastAsia" w:ascii="仿宋_GB2312" w:hAnsi="ˎ̥" w:eastAsia="仿宋_GB2312"/>
          <w:sz w:val="32"/>
          <w:szCs w:val="32"/>
          <w:lang w:val="en-US" w:eastAsia="zh-CN"/>
        </w:rPr>
        <w:t>10.42</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sz w:val="32"/>
          <w:szCs w:val="32"/>
          <w:lang w:val="en-US" w:eastAsia="zh-CN"/>
        </w:rPr>
        <w:t>185.58</w:t>
      </w:r>
      <w:r>
        <w:rPr>
          <w:rFonts w:hint="eastAsia" w:ascii="仿宋_GB2312" w:hAnsi="ˎ̥" w:eastAsia="仿宋_GB2312"/>
          <w:sz w:val="32"/>
          <w:szCs w:val="32"/>
        </w:rPr>
        <w:t>万元，占</w:t>
      </w:r>
      <w:r>
        <w:rPr>
          <w:rFonts w:hint="eastAsia" w:ascii="仿宋_GB2312" w:hAnsi="ˎ̥" w:eastAsia="仿宋_GB2312"/>
          <w:sz w:val="32"/>
          <w:szCs w:val="32"/>
          <w:lang w:val="en-US" w:eastAsia="zh-CN"/>
        </w:rPr>
        <w:t>5.87</w:t>
      </w:r>
      <w:r>
        <w:rPr>
          <w:rFonts w:hint="eastAsia" w:ascii="仿宋_GB2312" w:hAnsi="ˎ̥" w:eastAsia="仿宋_GB2312"/>
          <w:sz w:val="32"/>
          <w:szCs w:val="32"/>
        </w:rPr>
        <w:t>%；</w:t>
      </w:r>
      <w:r>
        <w:rPr>
          <w:rFonts w:hint="eastAsia" w:ascii="仿宋_GB2312" w:hAnsi="ˎ̥" w:eastAsia="仿宋_GB2312"/>
          <w:sz w:val="32"/>
          <w:szCs w:val="32"/>
          <w:lang w:val="en-US" w:eastAsia="zh-CN"/>
        </w:rPr>
        <w:t>卫生健康（类）支出316.89万元，占10.02%</w:t>
      </w:r>
      <w:r>
        <w:rPr>
          <w:rFonts w:hint="eastAsia" w:ascii="仿宋_GB2312" w:hAnsi="ˎ̥" w:eastAsia="仿宋_GB2312"/>
          <w:sz w:val="32"/>
          <w:szCs w:val="32"/>
        </w:rPr>
        <w:t>。</w:t>
      </w:r>
    </w:p>
    <w:p w14:paraId="73B695C3">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根据各部门（单位）实际支出涉及的支出功能分类类级科目填列）</w:t>
      </w:r>
    </w:p>
    <w:p w14:paraId="47306436">
      <w:pPr>
        <w:spacing w:line="578" w:lineRule="exact"/>
        <w:ind w:firstLine="640" w:firstLineChars="200"/>
        <w:rPr>
          <w:rFonts w:hint="eastAsia" w:ascii="楷体" w:hAnsi="楷体" w:eastAsia="楷体" w:cs="楷体"/>
          <w:sz w:val="32"/>
          <w:szCs w:val="32"/>
        </w:rPr>
      </w:pPr>
      <w:bookmarkStart w:id="89" w:name="_Toc9502_WPSOffice_Level2"/>
      <w:bookmarkStart w:id="90" w:name="_Toc21701_WPSOffice_Level2"/>
      <w:bookmarkStart w:id="91" w:name="_Toc29364_WPSOffice_Level2"/>
      <w:bookmarkStart w:id="92" w:name="_Toc15415_WPSOffice_Level2"/>
      <w:bookmarkStart w:id="93" w:name="_Toc25136_WPSOffice_Level2"/>
      <w:bookmarkStart w:id="94" w:name="_Toc22318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14:paraId="6EFD85A6">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年度一般公共预算财政拨款支出年初预算为</w:t>
      </w:r>
      <w:r>
        <w:rPr>
          <w:rFonts w:hint="eastAsia" w:ascii="仿宋_GB2312" w:hAnsi="ˎ̥" w:eastAsia="仿宋_GB2312"/>
          <w:sz w:val="32"/>
          <w:szCs w:val="32"/>
          <w:lang w:val="en-US" w:eastAsia="zh-CN"/>
        </w:rPr>
        <w:t>3163.42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3163.42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%。其中：</w:t>
      </w:r>
    </w:p>
    <w:p w14:paraId="60178B26">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一般公共服务（类）</w:t>
      </w:r>
      <w:r>
        <w:rPr>
          <w:rFonts w:hint="eastAsia" w:ascii="仿宋_GB2312" w:hAnsi="ˎ̥" w:eastAsia="仿宋_GB2312"/>
          <w:b/>
          <w:sz w:val="32"/>
          <w:szCs w:val="32"/>
          <w:lang w:val="en-US" w:eastAsia="zh-CN"/>
        </w:rPr>
        <w:t>市场监管事务</w:t>
      </w:r>
      <w:r>
        <w:rPr>
          <w:rFonts w:hint="eastAsia" w:ascii="仿宋_GB2312" w:hAnsi="ˎ̥" w:eastAsia="仿宋_GB2312"/>
          <w:b/>
          <w:sz w:val="32"/>
          <w:szCs w:val="32"/>
        </w:rPr>
        <w:t>（款）行政运行（项）。</w:t>
      </w:r>
    </w:p>
    <w:p w14:paraId="01512235">
      <w:pPr>
        <w:spacing w:line="578" w:lineRule="exact"/>
        <w:ind w:firstLine="0" w:firstLineChars="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2032.86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2032.86</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14:paraId="7A7ABC4B">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rPr>
        <w:t>2.</w:t>
      </w:r>
      <w:r>
        <w:rPr>
          <w:rFonts w:hint="eastAsia" w:ascii="仿宋_GB2312" w:hAnsi="ˎ̥" w:eastAsia="仿宋_GB2312"/>
          <w:b/>
          <w:sz w:val="32"/>
          <w:szCs w:val="32"/>
        </w:rPr>
        <w:t>一般公共服务（类）</w:t>
      </w:r>
      <w:r>
        <w:rPr>
          <w:rFonts w:hint="eastAsia" w:ascii="仿宋_GB2312" w:hAnsi="ˎ̥" w:eastAsia="仿宋_GB2312"/>
          <w:b/>
          <w:sz w:val="32"/>
          <w:szCs w:val="32"/>
          <w:lang w:val="en-US" w:eastAsia="zh-CN"/>
        </w:rPr>
        <w:t>市场监管事务</w:t>
      </w:r>
      <w:r>
        <w:rPr>
          <w:rFonts w:hint="eastAsia" w:ascii="仿宋_GB2312" w:hAnsi="ˎ̥" w:eastAsia="仿宋_GB2312"/>
          <w:b/>
          <w:sz w:val="32"/>
          <w:szCs w:val="32"/>
        </w:rPr>
        <w:t>（款）</w:t>
      </w:r>
      <w:r>
        <w:rPr>
          <w:rFonts w:hint="eastAsia" w:ascii="仿宋_GB2312" w:hAnsi="ˎ̥" w:eastAsia="仿宋_GB2312"/>
          <w:b/>
          <w:sz w:val="32"/>
          <w:szCs w:val="32"/>
          <w:lang w:val="en-US" w:eastAsia="zh-CN"/>
        </w:rPr>
        <w:t>一般行政管理事务</w:t>
      </w:r>
      <w:r>
        <w:rPr>
          <w:rFonts w:hint="eastAsia" w:ascii="仿宋_GB2312" w:hAnsi="ˎ̥" w:eastAsia="仿宋_GB2312"/>
          <w:b/>
          <w:sz w:val="32"/>
          <w:szCs w:val="32"/>
        </w:rPr>
        <w:t>（项）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9.41</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9.41</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14:paraId="71AB81F4">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val="en-US" w:eastAsia="zh-CN"/>
        </w:rPr>
        <w:t>3.</w:t>
      </w:r>
      <w:r>
        <w:rPr>
          <w:rFonts w:hint="eastAsia" w:ascii="仿宋_GB2312" w:hAnsi="ˎ̥" w:eastAsia="仿宋_GB2312"/>
          <w:b/>
          <w:sz w:val="32"/>
          <w:szCs w:val="32"/>
        </w:rPr>
        <w:t>一般公共服务（类）</w:t>
      </w:r>
      <w:r>
        <w:rPr>
          <w:rFonts w:hint="eastAsia" w:ascii="仿宋_GB2312" w:hAnsi="ˎ̥" w:eastAsia="仿宋_GB2312"/>
          <w:b/>
          <w:sz w:val="32"/>
          <w:szCs w:val="32"/>
          <w:lang w:val="en-US" w:eastAsia="zh-CN"/>
        </w:rPr>
        <w:t>市场监管事务</w:t>
      </w:r>
      <w:r>
        <w:rPr>
          <w:rFonts w:hint="eastAsia" w:ascii="仿宋_GB2312" w:hAnsi="ˎ̥" w:eastAsia="仿宋_GB2312"/>
          <w:b/>
          <w:sz w:val="32"/>
          <w:szCs w:val="32"/>
        </w:rPr>
        <w:t>（款）</w:t>
      </w:r>
      <w:r>
        <w:rPr>
          <w:rFonts w:hint="eastAsia" w:ascii="仿宋_GB2312" w:hAnsi="ˎ̥" w:eastAsia="仿宋_GB2312"/>
          <w:b/>
          <w:sz w:val="32"/>
          <w:szCs w:val="32"/>
          <w:lang w:val="en-US" w:eastAsia="zh-CN"/>
        </w:rPr>
        <w:t>其他市场监督管理事务</w:t>
      </w:r>
      <w:r>
        <w:rPr>
          <w:rFonts w:hint="eastAsia" w:ascii="仿宋_GB2312" w:hAnsi="ˎ̥" w:eastAsia="仿宋_GB2312"/>
          <w:b/>
          <w:sz w:val="32"/>
          <w:szCs w:val="32"/>
        </w:rPr>
        <w:t>（项）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284.67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284.67</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eastAsia="zh-CN"/>
        </w:rPr>
        <w:t>。</w:t>
      </w:r>
    </w:p>
    <w:p w14:paraId="60EDCEC7">
      <w:pPr>
        <w:spacing w:line="578" w:lineRule="exact"/>
        <w:ind w:firstLine="640" w:firstLineChars="200"/>
        <w:rPr>
          <w:rFonts w:hint="eastAsia" w:ascii="仿宋_GB2312" w:hAnsi="ˎ̥" w:eastAsia="仿宋_GB2312"/>
          <w:b/>
          <w:sz w:val="32"/>
          <w:szCs w:val="32"/>
          <w:lang w:val="en-US" w:eastAsia="zh-CN"/>
        </w:rPr>
      </w:pPr>
      <w:r>
        <w:rPr>
          <w:rFonts w:hint="eastAsia" w:ascii="仿宋_GB2312" w:hAnsi="ˎ̥" w:eastAsia="仿宋_GB2312"/>
          <w:sz w:val="32"/>
          <w:szCs w:val="32"/>
          <w:lang w:val="en-US" w:eastAsia="zh-CN"/>
        </w:rPr>
        <w:t>4.</w:t>
      </w:r>
      <w:r>
        <w:rPr>
          <w:rFonts w:hint="eastAsia" w:ascii="仿宋_GB2312" w:hAnsi="ˎ̥" w:eastAsia="仿宋_GB2312"/>
          <w:b/>
          <w:sz w:val="32"/>
          <w:szCs w:val="32"/>
        </w:rPr>
        <w:t>社会保障和就业支出（类）</w:t>
      </w:r>
      <w:r>
        <w:rPr>
          <w:rFonts w:hint="eastAsia" w:ascii="仿宋_GB2312" w:hAnsi="ˎ̥" w:eastAsia="仿宋_GB2312"/>
          <w:b/>
          <w:sz w:val="32"/>
          <w:szCs w:val="32"/>
          <w:lang w:val="en-US" w:eastAsia="zh-CN"/>
        </w:rPr>
        <w:t>行政事业单位养老支出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行政单位离退休</w:t>
      </w:r>
      <w:r>
        <w:rPr>
          <w:rFonts w:hint="eastAsia" w:ascii="仿宋_GB2312" w:hAnsi="ˎ̥" w:eastAsia="仿宋_GB2312"/>
          <w:b/>
          <w:sz w:val="32"/>
          <w:szCs w:val="32"/>
        </w:rPr>
        <w:t>（项）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19.89</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19.89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eastAsia="zh-CN"/>
        </w:rPr>
        <w:t>。</w:t>
      </w:r>
    </w:p>
    <w:p w14:paraId="388F9770">
      <w:pPr>
        <w:spacing w:line="578" w:lineRule="exact"/>
        <w:ind w:firstLine="640" w:firstLineChars="200"/>
        <w:rPr>
          <w:rFonts w:hint="eastAsia" w:ascii="仿宋_GB2312" w:hAnsi="ˎ̥" w:eastAsia="仿宋_GB2312"/>
          <w:b/>
          <w:sz w:val="32"/>
          <w:szCs w:val="32"/>
          <w:lang w:val="en-US" w:eastAsia="zh-CN"/>
        </w:rPr>
      </w:pPr>
      <w:r>
        <w:rPr>
          <w:rFonts w:hint="eastAsia" w:ascii="仿宋_GB2312" w:hAnsi="ˎ̥" w:eastAsia="仿宋_GB2312"/>
          <w:sz w:val="32"/>
          <w:szCs w:val="32"/>
          <w:lang w:val="en-US" w:eastAsia="zh-CN"/>
        </w:rPr>
        <w:t>5.</w:t>
      </w:r>
      <w:r>
        <w:rPr>
          <w:rFonts w:hint="eastAsia" w:ascii="仿宋_GB2312" w:hAnsi="ˎ̥" w:eastAsia="仿宋_GB2312"/>
          <w:b/>
          <w:sz w:val="32"/>
          <w:szCs w:val="32"/>
        </w:rPr>
        <w:t>社会保障和就业支出（类）</w:t>
      </w:r>
      <w:r>
        <w:rPr>
          <w:rFonts w:hint="eastAsia" w:ascii="仿宋_GB2312" w:hAnsi="ˎ̥" w:eastAsia="仿宋_GB2312"/>
          <w:b/>
          <w:sz w:val="32"/>
          <w:szCs w:val="32"/>
          <w:lang w:val="en-US" w:eastAsia="zh-CN"/>
        </w:rPr>
        <w:t>行政事业单位养老支出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机关事业单位基本养老保险缴费支出</w:t>
      </w:r>
      <w:r>
        <w:rPr>
          <w:rFonts w:hint="eastAsia" w:ascii="仿宋_GB2312" w:hAnsi="ˎ̥" w:eastAsia="仿宋_GB2312"/>
          <w:b/>
          <w:sz w:val="32"/>
          <w:szCs w:val="32"/>
        </w:rPr>
        <w:t>（项）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211.08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211.08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eastAsia="zh-CN"/>
        </w:rPr>
        <w:t>。</w:t>
      </w:r>
    </w:p>
    <w:p w14:paraId="5BE5B54E">
      <w:pPr>
        <w:spacing w:line="578" w:lineRule="exact"/>
        <w:ind w:firstLine="640" w:firstLineChars="200"/>
        <w:rPr>
          <w:rFonts w:hint="eastAsia" w:ascii="仿宋_GB2312" w:hAnsi="ˎ̥" w:eastAsia="仿宋_GB2312"/>
          <w:b/>
          <w:sz w:val="32"/>
          <w:szCs w:val="32"/>
          <w:lang w:val="en-US" w:eastAsia="zh-CN"/>
        </w:rPr>
      </w:pPr>
      <w:r>
        <w:rPr>
          <w:rFonts w:hint="eastAsia" w:ascii="仿宋_GB2312" w:hAnsi="ˎ̥" w:eastAsia="仿宋_GB2312"/>
          <w:sz w:val="32"/>
          <w:szCs w:val="32"/>
          <w:lang w:val="en-US" w:eastAsia="zh-CN"/>
        </w:rPr>
        <w:t>6.</w:t>
      </w:r>
      <w:r>
        <w:rPr>
          <w:rFonts w:hint="eastAsia" w:ascii="仿宋_GB2312" w:hAnsi="ˎ̥" w:eastAsia="仿宋_GB2312"/>
          <w:b/>
          <w:sz w:val="32"/>
          <w:szCs w:val="32"/>
        </w:rPr>
        <w:t>社会保障和就业支出（类）</w:t>
      </w:r>
      <w:r>
        <w:rPr>
          <w:rFonts w:hint="eastAsia" w:ascii="仿宋_GB2312" w:hAnsi="ˎ̥" w:eastAsia="仿宋_GB2312"/>
          <w:b/>
          <w:sz w:val="32"/>
          <w:szCs w:val="32"/>
          <w:lang w:val="en-US" w:eastAsia="zh-CN"/>
        </w:rPr>
        <w:t>行政事业单位养老支出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机关事业单位职业年金缴费支出</w:t>
      </w:r>
      <w:r>
        <w:rPr>
          <w:rFonts w:hint="eastAsia" w:ascii="仿宋_GB2312" w:hAnsi="ˎ̥" w:eastAsia="仿宋_GB2312"/>
          <w:b/>
          <w:sz w:val="32"/>
          <w:szCs w:val="32"/>
        </w:rPr>
        <w:t>（项）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94.22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94.22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eastAsia="zh-CN"/>
        </w:rPr>
        <w:t>。</w:t>
      </w:r>
    </w:p>
    <w:p w14:paraId="3B94306B">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val="en-US" w:eastAsia="zh-CN"/>
        </w:rPr>
        <w:t>7.</w:t>
      </w:r>
      <w:r>
        <w:rPr>
          <w:rFonts w:hint="eastAsia" w:ascii="仿宋_GB2312" w:hAnsi="ˎ̥" w:eastAsia="仿宋_GB2312"/>
          <w:b/>
          <w:sz w:val="32"/>
          <w:szCs w:val="32"/>
        </w:rPr>
        <w:t>社会保障和就业支出（类）</w:t>
      </w:r>
      <w:r>
        <w:rPr>
          <w:rFonts w:hint="eastAsia" w:ascii="仿宋_GB2312" w:hAnsi="ˎ̥" w:eastAsia="仿宋_GB2312"/>
          <w:b/>
          <w:sz w:val="32"/>
          <w:szCs w:val="32"/>
          <w:lang w:val="en-US" w:eastAsia="zh-CN"/>
        </w:rPr>
        <w:t>抚恤</w:t>
      </w:r>
      <w:r>
        <w:rPr>
          <w:rFonts w:hint="eastAsia" w:ascii="仿宋_GB2312" w:hAnsi="ˎ̥" w:eastAsia="仿宋_GB2312"/>
          <w:b/>
          <w:sz w:val="32"/>
          <w:szCs w:val="32"/>
        </w:rPr>
        <w:t>（款）</w:t>
      </w:r>
      <w:r>
        <w:rPr>
          <w:rFonts w:hint="eastAsia" w:ascii="仿宋_GB2312" w:hAnsi="ˎ̥" w:eastAsia="仿宋_GB2312"/>
          <w:b/>
          <w:sz w:val="32"/>
          <w:szCs w:val="32"/>
          <w:lang w:val="en-US" w:eastAsia="zh-CN"/>
        </w:rPr>
        <w:t>其他优抚支出</w:t>
      </w:r>
      <w:r>
        <w:rPr>
          <w:rFonts w:hint="eastAsia" w:ascii="仿宋_GB2312" w:hAnsi="ˎ̥" w:eastAsia="仿宋_GB2312"/>
          <w:b/>
          <w:sz w:val="32"/>
          <w:szCs w:val="32"/>
        </w:rPr>
        <w:t>（项）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4.32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4.32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eastAsia="zh-CN"/>
        </w:rPr>
        <w:t>。</w:t>
      </w:r>
    </w:p>
    <w:p w14:paraId="47017B02">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val="en-US" w:eastAsia="zh-CN"/>
        </w:rPr>
        <w:t>8.</w:t>
      </w:r>
      <w:r>
        <w:rPr>
          <w:rFonts w:hint="eastAsia" w:ascii="仿宋_GB2312" w:hAnsi="ˎ̥" w:eastAsia="仿宋_GB2312"/>
          <w:b/>
          <w:sz w:val="32"/>
          <w:szCs w:val="32"/>
        </w:rPr>
        <w:t>卫生健康支出（类）</w:t>
      </w:r>
      <w:r>
        <w:rPr>
          <w:rFonts w:hint="eastAsia" w:ascii="仿宋_GB2312" w:hAnsi="ˎ̥" w:eastAsia="仿宋_GB2312"/>
          <w:b/>
          <w:sz w:val="32"/>
          <w:szCs w:val="32"/>
          <w:lang w:val="en-US" w:eastAsia="zh-CN"/>
        </w:rPr>
        <w:t>行政事业单位医疗</w:t>
      </w:r>
      <w:r>
        <w:rPr>
          <w:rFonts w:hint="eastAsia" w:ascii="仿宋_GB2312" w:hAnsi="ˎ̥" w:eastAsia="仿宋_GB2312"/>
          <w:b/>
          <w:sz w:val="32"/>
          <w:szCs w:val="32"/>
        </w:rPr>
        <w:t>（款）</w:t>
      </w:r>
      <w:r>
        <w:rPr>
          <w:rFonts w:hint="eastAsia" w:ascii="仿宋_GB2312" w:hAnsi="ˎ̥" w:eastAsia="仿宋_GB2312"/>
          <w:b/>
          <w:sz w:val="32"/>
          <w:szCs w:val="32"/>
          <w:lang w:val="en-US" w:eastAsia="zh-CN"/>
        </w:rPr>
        <w:t>行政单位医疗</w:t>
      </w:r>
      <w:r>
        <w:rPr>
          <w:rFonts w:hint="eastAsia" w:ascii="仿宋_GB2312" w:hAnsi="ˎ̥" w:eastAsia="仿宋_GB2312"/>
          <w:b/>
          <w:sz w:val="32"/>
          <w:szCs w:val="32"/>
        </w:rPr>
        <w:t>（项）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90.45</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90.45</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eastAsia="zh-CN"/>
        </w:rPr>
        <w:t>。</w:t>
      </w:r>
    </w:p>
    <w:p w14:paraId="468175B1">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val="en-US" w:eastAsia="zh-CN"/>
        </w:rPr>
        <w:t>9.</w:t>
      </w:r>
      <w:r>
        <w:rPr>
          <w:rFonts w:hint="eastAsia" w:ascii="仿宋_GB2312" w:hAnsi="ˎ̥" w:eastAsia="仿宋_GB2312"/>
          <w:b/>
          <w:sz w:val="32"/>
          <w:szCs w:val="32"/>
        </w:rPr>
        <w:t>卫生健康支出（类）</w:t>
      </w:r>
      <w:r>
        <w:rPr>
          <w:rFonts w:hint="eastAsia" w:ascii="仿宋_GB2312" w:hAnsi="ˎ̥" w:eastAsia="仿宋_GB2312"/>
          <w:b/>
          <w:sz w:val="32"/>
          <w:szCs w:val="32"/>
          <w:lang w:val="en-US" w:eastAsia="zh-CN"/>
        </w:rPr>
        <w:t>行政事业单位医疗</w:t>
      </w:r>
      <w:r>
        <w:rPr>
          <w:rFonts w:hint="eastAsia" w:ascii="仿宋_GB2312" w:hAnsi="ˎ̥" w:eastAsia="仿宋_GB2312"/>
          <w:b/>
          <w:sz w:val="32"/>
          <w:szCs w:val="32"/>
        </w:rPr>
        <w:t>（款）</w:t>
      </w:r>
      <w:r>
        <w:rPr>
          <w:rFonts w:hint="eastAsia" w:ascii="仿宋_GB2312" w:hAnsi="ˎ̥" w:eastAsia="仿宋_GB2312"/>
          <w:b/>
          <w:sz w:val="32"/>
          <w:szCs w:val="32"/>
          <w:lang w:val="en-US" w:eastAsia="zh-CN"/>
        </w:rPr>
        <w:t>公务员医疗补助</w:t>
      </w:r>
      <w:r>
        <w:rPr>
          <w:rFonts w:hint="eastAsia" w:ascii="仿宋_GB2312" w:hAnsi="ˎ̥" w:eastAsia="仿宋_GB2312"/>
          <w:b/>
          <w:sz w:val="32"/>
          <w:szCs w:val="32"/>
        </w:rPr>
        <w:t>（项）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226.44</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226.44</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eastAsia="zh-CN"/>
        </w:rPr>
        <w:t>。</w:t>
      </w:r>
    </w:p>
    <w:p w14:paraId="6DCBE252">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val="en-US" w:eastAsia="zh-CN"/>
        </w:rPr>
        <w:t>10.</w:t>
      </w:r>
      <w:r>
        <w:rPr>
          <w:rFonts w:hint="eastAsia" w:ascii="仿宋_GB2312" w:hAnsi="ˎ̥" w:eastAsia="仿宋_GB2312"/>
          <w:b/>
          <w:sz w:val="32"/>
          <w:szCs w:val="32"/>
        </w:rPr>
        <w:t>农林水支出（类）</w:t>
      </w:r>
      <w:r>
        <w:rPr>
          <w:rFonts w:hint="eastAsia" w:ascii="仿宋_GB2312" w:hAnsi="ˎ̥" w:eastAsia="仿宋_GB2312"/>
          <w:b/>
          <w:sz w:val="32"/>
          <w:szCs w:val="32"/>
          <w:lang w:val="en-US" w:eastAsia="zh-CN"/>
        </w:rPr>
        <w:t>农业农村</w:t>
      </w:r>
      <w:r>
        <w:rPr>
          <w:rFonts w:hint="eastAsia" w:ascii="仿宋_GB2312" w:hAnsi="ˎ̥" w:eastAsia="仿宋_GB2312"/>
          <w:b/>
          <w:sz w:val="32"/>
          <w:szCs w:val="32"/>
        </w:rPr>
        <w:t>（款）</w:t>
      </w:r>
      <w:r>
        <w:rPr>
          <w:rFonts w:hint="eastAsia" w:ascii="仿宋_GB2312" w:hAnsi="ˎ̥" w:eastAsia="仿宋_GB2312"/>
          <w:b/>
          <w:sz w:val="32"/>
          <w:szCs w:val="32"/>
          <w:lang w:val="en-US" w:eastAsia="zh-CN"/>
        </w:rPr>
        <w:t>其他农业农村支出</w:t>
      </w:r>
      <w:r>
        <w:rPr>
          <w:rFonts w:hint="eastAsia" w:ascii="仿宋_GB2312" w:hAnsi="ˎ̥" w:eastAsia="仿宋_GB2312"/>
          <w:b/>
          <w:sz w:val="32"/>
          <w:szCs w:val="32"/>
        </w:rPr>
        <w:t>（项）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4.50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4.50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eastAsia="zh-CN"/>
        </w:rPr>
        <w:t>。</w:t>
      </w:r>
    </w:p>
    <w:p w14:paraId="0D4139E0">
      <w:pPr>
        <w:spacing w:line="578" w:lineRule="exact"/>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lang w:val="en-US" w:eastAsia="zh-CN"/>
        </w:rPr>
        <w:t>11.</w:t>
      </w:r>
      <w:r>
        <w:rPr>
          <w:rFonts w:hint="eastAsia" w:ascii="仿宋_GB2312" w:hAnsi="ˎ̥" w:eastAsia="仿宋_GB2312"/>
          <w:b/>
          <w:sz w:val="32"/>
          <w:szCs w:val="32"/>
        </w:rPr>
        <w:t>住房保障支出（类）</w:t>
      </w:r>
      <w:r>
        <w:rPr>
          <w:rFonts w:hint="eastAsia" w:ascii="仿宋_GB2312" w:hAnsi="ˎ̥" w:eastAsia="仿宋_GB2312"/>
          <w:b/>
          <w:sz w:val="32"/>
          <w:szCs w:val="32"/>
          <w:lang w:val="en-US" w:eastAsia="zh-CN"/>
        </w:rPr>
        <w:t>住房改革支出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住房公积金</w:t>
      </w:r>
      <w:r>
        <w:rPr>
          <w:rFonts w:hint="eastAsia" w:ascii="仿宋_GB2312" w:hAnsi="ˎ̥" w:eastAsia="仿宋_GB2312"/>
          <w:b/>
          <w:sz w:val="32"/>
          <w:szCs w:val="32"/>
        </w:rPr>
        <w:t>（项）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185.58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185.58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eastAsia="zh-CN"/>
        </w:rPr>
        <w:t>。</w:t>
      </w:r>
    </w:p>
    <w:p w14:paraId="2BDC9A08">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本部分支出决算数字可取自财决公开05表，年初预算数可取自各部门（单位）年初预算大本，根据各部门（单位）实际支出涉及的支出功能分类项级科目填列）</w:t>
      </w:r>
    </w:p>
    <w:p w14:paraId="778B4963">
      <w:pPr>
        <w:spacing w:line="578" w:lineRule="exact"/>
        <w:ind w:firstLine="627" w:firstLineChars="196"/>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69A4A8FF">
      <w:pPr>
        <w:tabs>
          <w:tab w:val="center" w:pos="4473"/>
        </w:tabs>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年度财政拨款基本支出</w:t>
      </w:r>
      <w:r>
        <w:rPr>
          <w:rFonts w:hint="eastAsia" w:ascii="仿宋_GB2312" w:hAnsi="ˎ̥" w:eastAsia="仿宋_GB2312"/>
          <w:sz w:val="32"/>
          <w:szCs w:val="32"/>
          <w:lang w:val="en-US" w:eastAsia="zh-CN"/>
        </w:rPr>
        <w:t>2827.06</w:t>
      </w:r>
      <w:r>
        <w:rPr>
          <w:rFonts w:hint="eastAsia" w:ascii="仿宋_GB2312" w:hAnsi="ˎ̥" w:eastAsia="仿宋_GB2312"/>
          <w:sz w:val="32"/>
          <w:szCs w:val="32"/>
        </w:rPr>
        <w:t>万元，其中：人员经费</w:t>
      </w:r>
      <w:r>
        <w:rPr>
          <w:rFonts w:hint="eastAsia" w:ascii="仿宋_GB2312" w:hAnsi="ˎ̥" w:eastAsia="仿宋_GB2312"/>
          <w:sz w:val="32"/>
          <w:szCs w:val="32"/>
          <w:lang w:val="en-US" w:eastAsia="zh-CN"/>
        </w:rPr>
        <w:t>2520.08</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其他工资福利支出；对个人和家庭的补助中的离休费、生活补助、救济费、其他对个人和家庭的补助。公用经费</w:t>
      </w:r>
      <w:r>
        <w:rPr>
          <w:rFonts w:hint="eastAsia" w:ascii="仿宋_GB2312" w:hAnsi="ˎ̥" w:eastAsia="仿宋_GB2312"/>
          <w:sz w:val="32"/>
          <w:szCs w:val="32"/>
          <w:lang w:val="en-US" w:eastAsia="zh-CN"/>
        </w:rPr>
        <w:t>306.98</w:t>
      </w:r>
      <w:r>
        <w:rPr>
          <w:rFonts w:hint="eastAsia" w:ascii="仿宋_GB2312" w:hAnsi="ˎ̥" w:eastAsia="仿宋_GB2312"/>
          <w:sz w:val="32"/>
          <w:szCs w:val="32"/>
        </w:rPr>
        <w:t>万元，主要包括：商品和服务支出中的办公费、印刷费、水费、电费、邮电费、物业管理费、差旅费、维修（护）费、培训费、公务接待费、劳务费、工会经费、公务用车运行维护费、其他交通费用、其他商品和服务支出；</w:t>
      </w:r>
      <w:r>
        <w:rPr>
          <w:rFonts w:hint="eastAsia" w:ascii="仿宋_GB2312" w:hAnsi="ˎ̥" w:eastAsia="仿宋_GB2312"/>
          <w:sz w:val="32"/>
          <w:szCs w:val="32"/>
          <w:lang w:val="en-US" w:eastAsia="zh-CN"/>
        </w:rPr>
        <w:t>.</w:t>
      </w:r>
    </w:p>
    <w:p w14:paraId="4B42D095">
      <w:pPr>
        <w:tabs>
          <w:tab w:val="center" w:pos="4473"/>
        </w:tabs>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上述数字可取自财决公开06表，各部门（单位）根据实际支出情况，选列相应支出经济分类。）</w:t>
      </w:r>
    </w:p>
    <w:p w14:paraId="7CD8B089">
      <w:pPr>
        <w:tabs>
          <w:tab w:val="center" w:pos="4473"/>
        </w:tabs>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5CE9948A">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14:paraId="74AD59E8">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年度政府性基金预算财政拨款支出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0</w:t>
      </w:r>
      <w:r>
        <w:rPr>
          <w:rFonts w:hint="eastAsia" w:ascii="仿宋_GB2312" w:hAnsi="ˎ̥" w:eastAsia="仿宋_GB2312"/>
          <w:sz w:val="32"/>
          <w:szCs w:val="32"/>
        </w:rPr>
        <w:t>%。与202</w:t>
      </w:r>
      <w:r>
        <w:rPr>
          <w:rFonts w:ascii="仿宋_GB2312" w:hAnsi="ˎ̥" w:eastAsia="仿宋_GB2312"/>
          <w:sz w:val="32"/>
          <w:szCs w:val="32"/>
        </w:rPr>
        <w:t>2</w:t>
      </w:r>
      <w:r>
        <w:rPr>
          <w:rFonts w:hint="eastAsia" w:ascii="仿宋_GB2312" w:hAnsi="ˎ̥" w:eastAsia="仿宋_GB2312"/>
          <w:sz w:val="32"/>
          <w:szCs w:val="32"/>
        </w:rPr>
        <w:t>年度相比，政府性基金预算财政拨款支出减少</w:t>
      </w:r>
      <w:r>
        <w:rPr>
          <w:rFonts w:hint="eastAsia" w:ascii="仿宋_GB2312" w:hAnsi="ˎ̥" w:eastAsia="仿宋_GB2312"/>
          <w:sz w:val="32"/>
          <w:szCs w:val="32"/>
          <w:lang w:val="en-US" w:eastAsia="zh-CN"/>
        </w:rPr>
        <w:t>76</w:t>
      </w:r>
      <w:r>
        <w:rPr>
          <w:rFonts w:hint="eastAsia" w:ascii="仿宋_GB2312" w:hAnsi="ˎ̥" w:eastAsia="仿宋_GB2312"/>
          <w:sz w:val="32"/>
          <w:szCs w:val="32"/>
        </w:rPr>
        <w:t>万元，下降</w:t>
      </w:r>
      <w:r>
        <w:rPr>
          <w:rFonts w:hint="eastAsia" w:ascii="仿宋_GB2312" w:hAnsi="ˎ̥" w:eastAsia="仿宋_GB2312"/>
          <w:sz w:val="32"/>
          <w:szCs w:val="32"/>
          <w:lang w:val="en-US" w:eastAsia="zh-CN"/>
        </w:rPr>
        <w:t>100</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2023年度县财政未安排政府性基金预算财政拨款</w:t>
      </w:r>
      <w:r>
        <w:rPr>
          <w:rFonts w:hint="eastAsia" w:ascii="仿宋_GB2312" w:hAnsi="ˎ̥" w:eastAsia="仿宋_GB2312"/>
          <w:sz w:val="32"/>
          <w:szCs w:val="32"/>
        </w:rPr>
        <w:t>。</w:t>
      </w:r>
    </w:p>
    <w:p w14:paraId="1ADAA061">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14:paraId="0BB75A77">
      <w:pPr>
        <w:spacing w:line="578" w:lineRule="exact"/>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年度政府性基金预算财政拨款支出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w:t>
      </w:r>
    </w:p>
    <w:p w14:paraId="59F064D5">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根据各部门（单位）实际支出涉及的支出功能分类类级科目填列）</w:t>
      </w:r>
    </w:p>
    <w:p w14:paraId="6B604DD3">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14:paraId="4415633A">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年度政府性基金预算财政拨款支出年初预算为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76B67D15">
      <w:pPr>
        <w:tabs>
          <w:tab w:val="center" w:pos="4473"/>
        </w:tabs>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根据各部门（单位）实际支出涉及的支出功能分类项级科目填列，本部分202</w:t>
      </w:r>
      <w:r>
        <w:rPr>
          <w:rFonts w:ascii="仿宋_GB2312" w:hAnsi="ˎ̥" w:eastAsia="仿宋_GB2312"/>
          <w:sz w:val="32"/>
          <w:szCs w:val="32"/>
        </w:rPr>
        <w:t>3</w:t>
      </w:r>
      <w:r>
        <w:rPr>
          <w:rFonts w:hint="eastAsia" w:ascii="仿宋_GB2312" w:hAnsi="ˎ̥" w:eastAsia="仿宋_GB2312"/>
          <w:sz w:val="32"/>
          <w:szCs w:val="32"/>
        </w:rPr>
        <w:t>年决算相关数据取自财决公开07表；202</w:t>
      </w:r>
      <w:r>
        <w:rPr>
          <w:rFonts w:ascii="仿宋_GB2312" w:hAnsi="ˎ̥" w:eastAsia="仿宋_GB2312"/>
          <w:sz w:val="32"/>
          <w:szCs w:val="32"/>
        </w:rPr>
        <w:t>2</w:t>
      </w:r>
      <w:r>
        <w:rPr>
          <w:rFonts w:hint="eastAsia" w:ascii="仿宋_GB2312" w:hAnsi="ˎ̥" w:eastAsia="仿宋_GB2312"/>
          <w:sz w:val="32"/>
          <w:szCs w:val="32"/>
        </w:rPr>
        <w:t>年决算相关数据取自财决09表《政府性基金预算财政拨款收入支出决算表》）</w:t>
      </w:r>
    </w:p>
    <w:p w14:paraId="6A2C10F7">
      <w:pPr>
        <w:tabs>
          <w:tab w:val="center" w:pos="4473"/>
        </w:tabs>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2209F1EB">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14:paraId="5A55079D">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年度国有资本经营预算财政拨款支出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0</w:t>
      </w:r>
      <w:r>
        <w:rPr>
          <w:rFonts w:hint="eastAsia" w:ascii="仿宋_GB2312" w:hAnsi="ˎ̥" w:eastAsia="仿宋_GB2312"/>
          <w:sz w:val="32"/>
          <w:szCs w:val="32"/>
        </w:rPr>
        <w:t>%。与202</w:t>
      </w:r>
      <w:r>
        <w:rPr>
          <w:rFonts w:ascii="仿宋_GB2312" w:hAnsi="ˎ̥" w:eastAsia="仿宋_GB2312"/>
          <w:sz w:val="32"/>
          <w:szCs w:val="32"/>
        </w:rPr>
        <w:t>2</w:t>
      </w:r>
      <w:r>
        <w:rPr>
          <w:rFonts w:hint="eastAsia" w:ascii="仿宋_GB2312" w:hAnsi="ˎ̥" w:eastAsia="仿宋_GB2312"/>
          <w:sz w:val="32"/>
          <w:szCs w:val="32"/>
        </w:rPr>
        <w:t>年度相比</w:t>
      </w:r>
      <w:r>
        <w:rPr>
          <w:rFonts w:hint="eastAsia" w:ascii="仿宋_GB2312" w:hAnsi="ˎ̥" w:eastAsia="仿宋_GB2312"/>
          <w:sz w:val="32"/>
          <w:szCs w:val="32"/>
          <w:lang w:val="en-US" w:eastAsia="zh-CN"/>
        </w:rPr>
        <w:t>持平</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县财政未安排</w:t>
      </w:r>
      <w:r>
        <w:rPr>
          <w:rFonts w:hint="eastAsia" w:ascii="楷体" w:hAnsi="楷体" w:eastAsia="楷体" w:cs="楷体"/>
          <w:sz w:val="32"/>
          <w:szCs w:val="32"/>
        </w:rPr>
        <w:t>国有资本经营预算财政拨款</w:t>
      </w:r>
      <w:r>
        <w:rPr>
          <w:rFonts w:hint="eastAsia" w:ascii="仿宋_GB2312" w:hAnsi="ˎ̥" w:eastAsia="仿宋_GB2312"/>
          <w:sz w:val="32"/>
          <w:szCs w:val="32"/>
        </w:rPr>
        <w:t>。</w:t>
      </w:r>
    </w:p>
    <w:p w14:paraId="3807C577">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14:paraId="60C70105">
      <w:pPr>
        <w:spacing w:line="578" w:lineRule="exact"/>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年度国有资本经营预算财政拨款支出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w:t>
      </w:r>
    </w:p>
    <w:p w14:paraId="54CC2CAD">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根据各部门（单位）实际支出涉及的支出功能分类类级科目填列）</w:t>
      </w:r>
    </w:p>
    <w:p w14:paraId="4601C913">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14:paraId="1FF6C338">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年度国有资本经营预算财政拨款支出年初预算为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0</w:t>
      </w:r>
      <w:r>
        <w:rPr>
          <w:rFonts w:hint="eastAsia" w:ascii="仿宋_GB2312" w:hAnsi="ˎ̥" w:eastAsia="仿宋_GB2312"/>
          <w:sz w:val="32"/>
          <w:szCs w:val="32"/>
        </w:rPr>
        <w:t>%。其中：</w:t>
      </w:r>
    </w:p>
    <w:p w14:paraId="2807376D">
      <w:pPr>
        <w:tabs>
          <w:tab w:val="center" w:pos="4473"/>
        </w:tabs>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根据各部门（单位）实际支出涉及的支出功能分类项级科目填列，本部分202</w:t>
      </w:r>
      <w:r>
        <w:rPr>
          <w:rFonts w:ascii="仿宋_GB2312" w:hAnsi="ˎ̥" w:eastAsia="仿宋_GB2312"/>
          <w:sz w:val="32"/>
          <w:szCs w:val="32"/>
        </w:rPr>
        <w:t>3</w:t>
      </w:r>
      <w:r>
        <w:rPr>
          <w:rFonts w:hint="eastAsia" w:ascii="仿宋_GB2312" w:hAnsi="ˎ̥" w:eastAsia="仿宋_GB2312"/>
          <w:sz w:val="32"/>
          <w:szCs w:val="32"/>
        </w:rPr>
        <w:t>年决算相关数据取自财决公开08表）。</w:t>
      </w:r>
    </w:p>
    <w:p w14:paraId="7603EF4B">
      <w:pPr>
        <w:spacing w:line="578" w:lineRule="exact"/>
        <w:ind w:firstLine="627" w:firstLineChars="196"/>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14:paraId="19B0B126">
      <w:pPr>
        <w:spacing w:line="578"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14:paraId="18A1F386">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 xml:space="preserve">    202</w:t>
      </w:r>
      <w:r>
        <w:rPr>
          <w:rFonts w:ascii="仿宋_GB2312" w:hAnsi="ˎ̥" w:eastAsia="仿宋_GB2312"/>
          <w:sz w:val="32"/>
          <w:szCs w:val="32"/>
        </w:rPr>
        <w:t>3</w:t>
      </w:r>
      <w:r>
        <w:rPr>
          <w:rFonts w:hint="eastAsia" w:ascii="仿宋_GB2312" w:hAnsi="ˎ̥" w:eastAsia="仿宋_GB2312"/>
          <w:sz w:val="32"/>
          <w:szCs w:val="32"/>
        </w:rPr>
        <w:t>年度财政拨款“三公”经费支出预算为</w:t>
      </w:r>
      <w:r>
        <w:rPr>
          <w:rFonts w:hint="eastAsia" w:ascii="仿宋_GB2312" w:hAnsi="ˎ̥" w:eastAsia="仿宋_GB2312"/>
          <w:sz w:val="32"/>
          <w:szCs w:val="32"/>
          <w:lang w:val="en-US" w:eastAsia="zh-CN"/>
        </w:rPr>
        <w:t>20.50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15.93</w:t>
      </w:r>
      <w:r>
        <w:rPr>
          <w:rFonts w:hint="eastAsia" w:ascii="仿宋_GB2312" w:hAnsi="ˎ̥" w:eastAsia="仿宋_GB2312"/>
          <w:sz w:val="32"/>
          <w:szCs w:val="32"/>
        </w:rPr>
        <w:t>万元，完成预算的</w:t>
      </w:r>
      <w:r>
        <w:rPr>
          <w:rFonts w:hint="eastAsia" w:ascii="仿宋_GB2312" w:hAnsi="ˎ̥" w:eastAsia="仿宋_GB2312"/>
          <w:sz w:val="32"/>
          <w:szCs w:val="32"/>
          <w:lang w:val="en-US" w:eastAsia="zh-CN"/>
        </w:rPr>
        <w:t>77.70</w:t>
      </w:r>
      <w:r>
        <w:rPr>
          <w:rFonts w:hint="eastAsia" w:ascii="仿宋_GB2312" w:hAnsi="ˎ̥" w:eastAsia="仿宋_GB2312"/>
          <w:sz w:val="32"/>
          <w:szCs w:val="32"/>
        </w:rPr>
        <w:t>%，</w:t>
      </w:r>
      <w:r>
        <w:rPr>
          <w:rFonts w:ascii="仿宋_GB2312" w:hAnsi="ˎ̥" w:eastAsia="仿宋_GB2312"/>
          <w:sz w:val="32"/>
          <w:szCs w:val="32"/>
        </w:rPr>
        <w:t>与</w:t>
      </w:r>
      <w:r>
        <w:rPr>
          <w:rFonts w:hint="eastAsia" w:ascii="仿宋_GB2312" w:hAnsi="ˎ̥" w:eastAsia="仿宋_GB2312"/>
          <w:sz w:val="32"/>
          <w:szCs w:val="32"/>
        </w:rPr>
        <w:t>2022年度</w:t>
      </w:r>
      <w:r>
        <w:rPr>
          <w:rFonts w:ascii="仿宋_GB2312" w:hAnsi="ˎ̥" w:eastAsia="仿宋_GB2312"/>
          <w:sz w:val="32"/>
          <w:szCs w:val="32"/>
        </w:rPr>
        <w:t>相比，</w:t>
      </w:r>
      <w:r>
        <w:rPr>
          <w:rFonts w:hint="eastAsia" w:ascii="仿宋_GB2312" w:hAnsi="ˎ̥" w:eastAsia="仿宋_GB2312"/>
          <w:sz w:val="32"/>
          <w:szCs w:val="32"/>
        </w:rPr>
        <w:t>“三公”经费支出减少</w:t>
      </w:r>
      <w:r>
        <w:rPr>
          <w:rFonts w:hint="eastAsia" w:ascii="仿宋_GB2312" w:hAnsi="ˎ̥" w:eastAsia="仿宋_GB2312"/>
          <w:sz w:val="32"/>
          <w:szCs w:val="32"/>
          <w:lang w:val="en-US" w:eastAsia="zh-CN"/>
        </w:rPr>
        <w:t>23.26</w:t>
      </w:r>
      <w:r>
        <w:rPr>
          <w:rFonts w:hint="eastAsia" w:ascii="仿宋_GB2312" w:hAnsi="ˎ̥" w:eastAsia="仿宋_GB2312"/>
          <w:sz w:val="32"/>
          <w:szCs w:val="32"/>
        </w:rPr>
        <w:t>万元</w:t>
      </w:r>
      <w:r>
        <w:rPr>
          <w:rFonts w:ascii="仿宋_GB2312" w:hAnsi="ˎ̥" w:eastAsia="仿宋_GB2312"/>
          <w:sz w:val="32"/>
          <w:szCs w:val="32"/>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59.35</w:t>
      </w:r>
      <w:r>
        <w:rPr>
          <w:rFonts w:hint="eastAsia" w:ascii="仿宋_GB2312" w:hAnsi="ˎ̥" w:eastAsia="仿宋_GB2312"/>
          <w:sz w:val="32"/>
          <w:szCs w:val="32"/>
        </w:rPr>
        <w:t>%，</w:t>
      </w:r>
      <w:r>
        <w:rPr>
          <w:rFonts w:ascii="仿宋_GB2312" w:hAnsi="ˎ̥" w:eastAsia="仿宋_GB2312"/>
          <w:sz w:val="32"/>
          <w:szCs w:val="32"/>
        </w:rPr>
        <w:t>主要原因</w:t>
      </w:r>
      <w:r>
        <w:rPr>
          <w:rFonts w:hint="eastAsia" w:ascii="仿宋_GB2312" w:hAnsi="ˎ̥" w:eastAsia="仿宋_GB2312"/>
          <w:sz w:val="32"/>
          <w:szCs w:val="32"/>
        </w:rPr>
        <w:t>一是</w:t>
      </w:r>
      <w:r>
        <w:rPr>
          <w:rFonts w:hint="eastAsia" w:ascii="仿宋_GB2312" w:hAnsi="ˎ̥" w:eastAsia="仿宋_GB2312"/>
          <w:sz w:val="32"/>
          <w:szCs w:val="32"/>
          <w:lang w:val="en-US" w:eastAsia="zh-CN"/>
        </w:rPr>
        <w:t>县财政资金紧张，部分账单未能及时支付</w:t>
      </w:r>
      <w:r>
        <w:rPr>
          <w:rFonts w:hint="eastAsia" w:ascii="仿宋_GB2312" w:hAnsi="ˎ̥" w:eastAsia="仿宋_GB2312"/>
          <w:sz w:val="32"/>
          <w:szCs w:val="32"/>
        </w:rPr>
        <w:t>；二是</w:t>
      </w:r>
      <w:r>
        <w:rPr>
          <w:rFonts w:hint="eastAsia" w:ascii="仿宋_GB2312" w:hAnsi="ˎ̥" w:eastAsia="仿宋_GB2312"/>
          <w:sz w:val="32"/>
          <w:szCs w:val="32"/>
          <w:lang w:val="en-US" w:eastAsia="zh-CN"/>
        </w:rPr>
        <w:t>县市场监督管理局合理控制各项开支</w:t>
      </w:r>
      <w:r>
        <w:rPr>
          <w:rFonts w:hint="eastAsia" w:ascii="仿宋_GB2312" w:hAnsi="ˎ̥" w:eastAsia="仿宋_GB2312"/>
          <w:sz w:val="32"/>
          <w:szCs w:val="32"/>
        </w:rPr>
        <w:t>。</w:t>
      </w:r>
    </w:p>
    <w:p w14:paraId="2F3BBBA9">
      <w:pPr>
        <w:spacing w:line="578" w:lineRule="exact"/>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14:paraId="49D76D7D">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2023年度财政拨款“三公”经费支出决算中，因公出国（境）费支出决算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%；公务用车购置及运行维护费支出决算</w:t>
      </w:r>
      <w:r>
        <w:rPr>
          <w:rFonts w:hint="eastAsia" w:ascii="仿宋_GB2312" w:hAnsi="ˎ̥" w:eastAsia="仿宋_GB2312"/>
          <w:sz w:val="32"/>
          <w:szCs w:val="32"/>
          <w:lang w:val="en-US" w:eastAsia="zh-CN"/>
        </w:rPr>
        <w:t>15.54</w:t>
      </w:r>
      <w:r>
        <w:rPr>
          <w:rFonts w:hint="eastAsia" w:ascii="仿宋_GB2312" w:hAnsi="ˎ̥" w:eastAsia="仿宋_GB2312"/>
          <w:sz w:val="32"/>
          <w:szCs w:val="32"/>
        </w:rPr>
        <w:t>万元，占</w:t>
      </w:r>
      <w:r>
        <w:rPr>
          <w:rFonts w:hint="eastAsia" w:ascii="仿宋_GB2312" w:hAnsi="ˎ̥" w:eastAsia="仿宋_GB2312"/>
          <w:sz w:val="32"/>
          <w:szCs w:val="32"/>
          <w:lang w:val="en-US" w:eastAsia="zh-CN"/>
        </w:rPr>
        <w:t>97.55</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0.39</w:t>
      </w:r>
      <w:r>
        <w:rPr>
          <w:rFonts w:hint="eastAsia" w:ascii="仿宋_GB2312" w:hAnsi="ˎ̥" w:eastAsia="仿宋_GB2312"/>
          <w:sz w:val="32"/>
          <w:szCs w:val="32"/>
        </w:rPr>
        <w:t>万元，占</w:t>
      </w:r>
      <w:r>
        <w:rPr>
          <w:rFonts w:hint="eastAsia" w:ascii="仿宋_GB2312" w:hAnsi="ˎ̥" w:eastAsia="仿宋_GB2312"/>
          <w:sz w:val="32"/>
          <w:szCs w:val="32"/>
          <w:lang w:val="en-US" w:eastAsia="zh-CN"/>
        </w:rPr>
        <w:t>2.45</w:t>
      </w:r>
      <w:r>
        <w:rPr>
          <w:rFonts w:hint="eastAsia" w:ascii="仿宋_GB2312" w:hAnsi="ˎ̥" w:eastAsia="仿宋_GB2312"/>
          <w:sz w:val="32"/>
          <w:szCs w:val="32"/>
        </w:rPr>
        <w:t>%。具体情况如下：</w:t>
      </w:r>
    </w:p>
    <w:p w14:paraId="3483A345">
      <w:pPr>
        <w:spacing w:line="578"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万元。全年安排因公出国（境）团组</w:t>
      </w:r>
      <w:r>
        <w:rPr>
          <w:rFonts w:hint="eastAsia" w:ascii="仿宋_GB2312" w:hAnsi="ˎ̥" w:eastAsia="仿宋_GB2312"/>
          <w:sz w:val="32"/>
          <w:szCs w:val="32"/>
          <w:lang w:val="en-US" w:eastAsia="zh-CN"/>
        </w:rPr>
        <w:t>0</w:t>
      </w:r>
      <w:r>
        <w:rPr>
          <w:rFonts w:hint="eastAsia" w:ascii="仿宋_GB2312" w:hAnsi="ˎ̥" w:eastAsia="仿宋_GB2312"/>
          <w:sz w:val="32"/>
          <w:szCs w:val="32"/>
        </w:rPr>
        <w:t>个，因公出国（境）</w:t>
      </w:r>
      <w:r>
        <w:rPr>
          <w:rFonts w:hint="eastAsia" w:ascii="仿宋_GB2312" w:hAnsi="ˎ̥" w:eastAsia="仿宋_GB2312"/>
          <w:sz w:val="32"/>
          <w:szCs w:val="32"/>
          <w:lang w:val="en-US" w:eastAsia="zh-CN"/>
        </w:rPr>
        <w:t>0</w:t>
      </w:r>
      <w:r>
        <w:rPr>
          <w:rFonts w:hint="eastAsia" w:ascii="仿宋_GB2312" w:hAnsi="ˎ̥" w:eastAsia="仿宋_GB2312"/>
          <w:sz w:val="32"/>
          <w:szCs w:val="32"/>
        </w:rPr>
        <w:t>人次。</w:t>
      </w:r>
    </w:p>
    <w:p w14:paraId="762F764D">
      <w:pPr>
        <w:spacing w:line="578"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2.公务用车购置及运行维护费支出</w:t>
      </w:r>
      <w:r>
        <w:rPr>
          <w:rFonts w:hint="eastAsia" w:ascii="仿宋_GB2312" w:hAnsi="ˎ̥" w:eastAsia="仿宋_GB2312"/>
          <w:sz w:val="32"/>
          <w:szCs w:val="32"/>
          <w:lang w:val="en-US" w:eastAsia="zh-CN"/>
        </w:rPr>
        <w:t>15.54</w:t>
      </w:r>
      <w:r>
        <w:rPr>
          <w:rFonts w:hint="eastAsia" w:ascii="仿宋_GB2312" w:hAnsi="ˎ̥" w:eastAsia="仿宋_GB2312"/>
          <w:sz w:val="32"/>
          <w:szCs w:val="32"/>
        </w:rPr>
        <w:t>万元。其中：</w:t>
      </w:r>
    </w:p>
    <w:p w14:paraId="7AB4E5FB">
      <w:pPr>
        <w:spacing w:line="578"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公务用车购置支出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万元，全年购置公务用车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p>
    <w:p w14:paraId="4E71F81C">
      <w:pPr>
        <w:spacing w:line="578"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eastAsia" w:ascii="仿宋_GB2312" w:hAnsi="ˎ̥" w:eastAsia="仿宋_GB2312"/>
          <w:sz w:val="32"/>
          <w:szCs w:val="32"/>
          <w:lang w:val="en-US" w:eastAsia="zh-CN"/>
        </w:rPr>
        <w:t>15.54</w:t>
      </w:r>
      <w:r>
        <w:rPr>
          <w:rFonts w:hint="eastAsia" w:ascii="仿宋_GB2312" w:hAnsi="ˎ̥" w:eastAsia="仿宋_GB2312"/>
          <w:sz w:val="32"/>
          <w:szCs w:val="32"/>
        </w:rPr>
        <w:t>万元，主要用于</w:t>
      </w:r>
      <w:r>
        <w:rPr>
          <w:rFonts w:hint="eastAsia" w:ascii="仿宋_GB2312" w:hAnsi="ˎ̥" w:eastAsia="仿宋_GB2312"/>
          <w:sz w:val="32"/>
          <w:szCs w:val="32"/>
          <w:lang w:val="en-US" w:eastAsia="zh-CN"/>
        </w:rPr>
        <w:t>县市场监督管理局公务用车维修、保养及燃料费</w:t>
      </w:r>
      <w:r>
        <w:rPr>
          <w:rFonts w:hint="eastAsia" w:ascii="仿宋_GB2312" w:hAnsi="ˎ̥" w:eastAsia="仿宋_GB2312"/>
          <w:sz w:val="32"/>
          <w:szCs w:val="32"/>
        </w:rPr>
        <w:t>。</w:t>
      </w:r>
    </w:p>
    <w:p w14:paraId="3FDBBE3A">
      <w:pPr>
        <w:spacing w:line="578" w:lineRule="exact"/>
        <w:ind w:firstLine="640" w:firstLineChars="200"/>
        <w:rPr>
          <w:rFonts w:hint="eastAsia" w:ascii="仿宋_GB2312" w:hAnsi="ˎ̥" w:eastAsia="仿宋_GB2312"/>
          <w:bCs/>
          <w:sz w:val="32"/>
          <w:szCs w:val="32"/>
        </w:rPr>
      </w:pPr>
      <w:r>
        <w:rPr>
          <w:rFonts w:hint="eastAsia" w:ascii="仿宋_GB2312" w:hAnsi="ˎ̥" w:eastAsia="仿宋_GB2312"/>
          <w:bCs/>
          <w:sz w:val="32"/>
          <w:szCs w:val="32"/>
        </w:rPr>
        <w:t>公务用车购置及运行维护费支出决算数</w:t>
      </w:r>
      <w:r>
        <w:rPr>
          <w:rFonts w:hint="eastAsia" w:ascii="仿宋_GB2312" w:hAnsi="ˎ̥" w:eastAsia="仿宋_GB2312"/>
          <w:sz w:val="32"/>
          <w:szCs w:val="32"/>
        </w:rPr>
        <w:t>比预算数减少）</w:t>
      </w:r>
      <w:r>
        <w:rPr>
          <w:rFonts w:hint="eastAsia" w:ascii="仿宋_GB2312" w:hAnsi="ˎ̥" w:eastAsia="仿宋_GB2312"/>
          <w:sz w:val="32"/>
          <w:szCs w:val="32"/>
          <w:lang w:val="en-US" w:eastAsia="zh-CN"/>
        </w:rPr>
        <w:t>4.46</w:t>
      </w:r>
      <w:r>
        <w:rPr>
          <w:rFonts w:hint="eastAsia" w:ascii="仿宋_GB2312" w:hAnsi="ˎ̥" w:eastAsia="仿宋_GB2312"/>
          <w:sz w:val="32"/>
          <w:szCs w:val="32"/>
        </w:rPr>
        <w:t>万元，下降</w:t>
      </w:r>
      <w:r>
        <w:rPr>
          <w:rFonts w:hint="eastAsia" w:ascii="仿宋_GB2312" w:hAnsi="ˎ̥" w:eastAsia="仿宋_GB2312"/>
          <w:sz w:val="32"/>
          <w:szCs w:val="32"/>
          <w:lang w:val="en-US" w:eastAsia="zh-CN"/>
        </w:rPr>
        <w:t>22.30</w:t>
      </w:r>
      <w:r>
        <w:rPr>
          <w:rFonts w:hint="eastAsia" w:ascii="仿宋_GB2312" w:hAnsi="ˎ̥" w:eastAsia="仿宋_GB2312"/>
          <w:sz w:val="32"/>
          <w:szCs w:val="32"/>
        </w:rPr>
        <w:t>%。与2022年度</w:t>
      </w:r>
      <w:r>
        <w:rPr>
          <w:rFonts w:ascii="仿宋_GB2312" w:hAnsi="ˎ̥" w:eastAsia="仿宋_GB2312"/>
          <w:sz w:val="32"/>
          <w:szCs w:val="32"/>
        </w:rPr>
        <w:t>相比，</w:t>
      </w:r>
      <w:r>
        <w:rPr>
          <w:rFonts w:hint="eastAsia" w:ascii="仿宋_GB2312" w:hAnsi="ˎ̥" w:eastAsia="仿宋_GB2312"/>
          <w:bCs/>
          <w:sz w:val="32"/>
          <w:szCs w:val="32"/>
        </w:rPr>
        <w:t>公务用车购置及运行维护费</w:t>
      </w:r>
      <w:r>
        <w:rPr>
          <w:rFonts w:hint="eastAsia" w:ascii="仿宋_GB2312" w:hAnsi="ˎ̥" w:eastAsia="仿宋_GB2312"/>
          <w:sz w:val="32"/>
          <w:szCs w:val="32"/>
        </w:rPr>
        <w:t>支出减少</w:t>
      </w:r>
      <w:r>
        <w:rPr>
          <w:rFonts w:hint="eastAsia" w:ascii="仿宋_GB2312" w:hAnsi="ˎ̥" w:eastAsia="仿宋_GB2312"/>
          <w:sz w:val="32"/>
          <w:szCs w:val="32"/>
          <w:lang w:val="en-US" w:eastAsia="zh-CN"/>
        </w:rPr>
        <w:t>23.65</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60.35</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一是2023年度</w:t>
      </w:r>
      <w:r>
        <w:rPr>
          <w:rFonts w:hint="eastAsia" w:ascii="仿宋_GB2312" w:hAnsi="ˎ̥" w:eastAsia="仿宋_GB2312"/>
          <w:bCs/>
          <w:sz w:val="32"/>
          <w:szCs w:val="32"/>
        </w:rPr>
        <w:t>公务用车购置及运行维护费</w:t>
      </w:r>
      <w:r>
        <w:rPr>
          <w:rFonts w:hint="eastAsia" w:ascii="仿宋_GB2312" w:hAnsi="ˎ̥" w:eastAsia="仿宋_GB2312"/>
          <w:bCs/>
          <w:sz w:val="32"/>
          <w:szCs w:val="32"/>
          <w:lang w:val="en-US" w:eastAsia="zh-CN"/>
        </w:rPr>
        <w:t>预算压减；二是县财政资金紧缺未能支付部分账单</w:t>
      </w:r>
      <w:r>
        <w:rPr>
          <w:rFonts w:hint="eastAsia" w:ascii="仿宋_GB2312" w:hAnsi="ˎ̥" w:eastAsia="仿宋_GB2312"/>
          <w:sz w:val="32"/>
          <w:szCs w:val="32"/>
        </w:rPr>
        <w:t>。</w:t>
      </w:r>
    </w:p>
    <w:p w14:paraId="578BBFD7">
      <w:pPr>
        <w:spacing w:line="578" w:lineRule="exact"/>
        <w:rPr>
          <w:rFonts w:hint="eastAsia" w:ascii="仿宋_GB2312" w:hAnsi="ˎ̥" w:eastAsia="仿宋_GB2312"/>
          <w:sz w:val="32"/>
          <w:szCs w:val="32"/>
        </w:rPr>
      </w:pPr>
      <w:r>
        <w:rPr>
          <w:rFonts w:hint="eastAsia" w:ascii="仿宋_GB2312" w:hAnsi="ˎ̥" w:eastAsia="仿宋_GB2312"/>
          <w:b/>
          <w:sz w:val="32"/>
          <w:szCs w:val="32"/>
        </w:rPr>
        <w:t xml:space="preserve">    3.公务接待费支出</w:t>
      </w:r>
      <w:r>
        <w:rPr>
          <w:rFonts w:hint="eastAsia" w:ascii="仿宋_GB2312" w:hAnsi="ˎ̥" w:eastAsia="仿宋_GB2312"/>
          <w:sz w:val="32"/>
          <w:szCs w:val="32"/>
          <w:lang w:val="en-US" w:eastAsia="zh-CN"/>
        </w:rPr>
        <w:t>0.39</w:t>
      </w:r>
      <w:r>
        <w:rPr>
          <w:rFonts w:hint="eastAsia" w:ascii="仿宋_GB2312" w:hAnsi="ˎ̥" w:eastAsia="仿宋_GB2312"/>
          <w:sz w:val="32"/>
          <w:szCs w:val="32"/>
        </w:rPr>
        <w:t>万元，其中：</w:t>
      </w:r>
    </w:p>
    <w:p w14:paraId="77E8B449">
      <w:pPr>
        <w:spacing w:line="578"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国内接待费</w:t>
      </w:r>
      <w:r>
        <w:rPr>
          <w:rFonts w:hint="eastAsia" w:ascii="仿宋_GB2312" w:hAnsi="ˎ̥" w:eastAsia="仿宋_GB2312"/>
          <w:sz w:val="32"/>
          <w:szCs w:val="32"/>
        </w:rPr>
        <w:t>支出</w:t>
      </w:r>
      <w:r>
        <w:rPr>
          <w:rFonts w:hint="eastAsia" w:ascii="仿宋_GB2312" w:hAnsi="ˎ̥" w:eastAsia="仿宋_GB2312"/>
          <w:sz w:val="32"/>
          <w:szCs w:val="32"/>
          <w:lang w:val="en-US" w:eastAsia="zh-CN"/>
        </w:rPr>
        <w:t>0.39</w:t>
      </w:r>
      <w:r>
        <w:rPr>
          <w:rFonts w:hint="eastAsia" w:ascii="仿宋_GB2312" w:hAnsi="ˎ̥" w:eastAsia="仿宋_GB2312"/>
          <w:sz w:val="32"/>
          <w:szCs w:val="32"/>
        </w:rPr>
        <w:t>万元，国内公务接待</w:t>
      </w:r>
      <w:r>
        <w:rPr>
          <w:rFonts w:hint="eastAsia" w:ascii="仿宋_GB2312" w:hAnsi="ˎ̥" w:eastAsia="仿宋_GB2312"/>
          <w:sz w:val="32"/>
          <w:szCs w:val="32"/>
          <w:lang w:val="en-US" w:eastAsia="zh-CN"/>
        </w:rPr>
        <w:t>6</w:t>
      </w:r>
      <w:r>
        <w:rPr>
          <w:rFonts w:hint="eastAsia" w:ascii="仿宋_GB2312" w:hAnsi="ˎ̥" w:eastAsia="仿宋_GB2312"/>
          <w:sz w:val="32"/>
          <w:szCs w:val="32"/>
        </w:rPr>
        <w:t>批次，接待</w:t>
      </w:r>
      <w:r>
        <w:rPr>
          <w:rFonts w:hint="eastAsia" w:ascii="仿宋_GB2312" w:hAnsi="ˎ̥" w:eastAsia="仿宋_GB2312"/>
          <w:sz w:val="32"/>
          <w:szCs w:val="32"/>
          <w:lang w:val="en-US" w:eastAsia="zh-CN"/>
        </w:rPr>
        <w:t>35</w:t>
      </w:r>
      <w:r>
        <w:rPr>
          <w:rFonts w:hint="eastAsia" w:ascii="仿宋_GB2312" w:hAnsi="ˎ̥" w:eastAsia="仿宋_GB2312"/>
          <w:sz w:val="32"/>
          <w:szCs w:val="32"/>
        </w:rPr>
        <w:t>人次；主要用于</w:t>
      </w:r>
      <w:r>
        <w:rPr>
          <w:rFonts w:hint="eastAsia" w:ascii="仿宋_GB2312" w:hAnsi="ˎ̥" w:eastAsia="仿宋_GB2312"/>
          <w:sz w:val="32"/>
          <w:szCs w:val="32"/>
          <w:lang w:val="en-US" w:eastAsia="zh-CN"/>
        </w:rPr>
        <w:t>食品安全两个责任、扫黑除恶、短斤缺两、外语标识标牌规范建设评估、金牌园区质量服务调研、涉疫物资价格及竞争秩序监管专项督导和检查工作接待用餐</w:t>
      </w:r>
      <w:r>
        <w:rPr>
          <w:rFonts w:hint="eastAsia" w:ascii="仿宋_GB2312" w:hAnsi="ˎ̥" w:eastAsia="仿宋_GB2312"/>
          <w:sz w:val="32"/>
          <w:szCs w:val="32"/>
        </w:rPr>
        <w:t>。</w:t>
      </w:r>
    </w:p>
    <w:p w14:paraId="770578C8">
      <w:pPr>
        <w:spacing w:line="578" w:lineRule="exact"/>
        <w:ind w:firstLine="643" w:firstLineChars="200"/>
        <w:rPr>
          <w:rFonts w:hint="eastAsia" w:ascii="仿宋_GB2312" w:hAnsi="ˎ̥" w:eastAsia="仿宋_GB2312"/>
          <w:sz w:val="32"/>
          <w:szCs w:val="32"/>
          <w:lang w:val="en-US" w:eastAsia="zh-CN"/>
        </w:rPr>
      </w:pPr>
      <w:r>
        <w:rPr>
          <w:rFonts w:hint="eastAsia" w:ascii="仿宋_GB2312" w:hAnsi="ˎ̥" w:eastAsia="仿宋_GB2312"/>
          <w:b/>
          <w:bCs/>
          <w:sz w:val="32"/>
          <w:szCs w:val="32"/>
        </w:rPr>
        <w:t>国（境）外接待费</w:t>
      </w:r>
      <w:r>
        <w:rPr>
          <w:rFonts w:hint="eastAsia" w:ascii="仿宋_GB2312" w:hAnsi="ˎ̥" w:eastAsia="仿宋_GB2312"/>
          <w:sz w:val="32"/>
          <w:szCs w:val="32"/>
        </w:rPr>
        <w:t>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万元，国（境）外公务接待</w:t>
      </w:r>
      <w:r>
        <w:rPr>
          <w:rFonts w:hint="eastAsia" w:ascii="仿宋_GB2312" w:hAnsi="ˎ̥" w:eastAsia="仿宋_GB2312"/>
          <w:sz w:val="32"/>
          <w:szCs w:val="32"/>
          <w:lang w:val="en-US" w:eastAsia="zh-CN"/>
        </w:rPr>
        <w:t>0</w:t>
      </w:r>
      <w:r>
        <w:rPr>
          <w:rFonts w:hint="eastAsia" w:ascii="仿宋_GB2312" w:hAnsi="ˎ̥" w:eastAsia="仿宋_GB2312"/>
          <w:sz w:val="32"/>
          <w:szCs w:val="32"/>
        </w:rPr>
        <w:t>批次，接待</w:t>
      </w:r>
      <w:r>
        <w:rPr>
          <w:rFonts w:hint="eastAsia" w:ascii="仿宋_GB2312" w:hAnsi="ˎ̥" w:eastAsia="仿宋_GB2312"/>
          <w:sz w:val="32"/>
          <w:szCs w:val="32"/>
          <w:lang w:val="en-US" w:eastAsia="zh-CN"/>
        </w:rPr>
        <w:t>0</w:t>
      </w:r>
      <w:r>
        <w:rPr>
          <w:rFonts w:hint="eastAsia" w:ascii="仿宋_GB2312" w:hAnsi="ˎ̥" w:eastAsia="仿宋_GB2312"/>
          <w:sz w:val="32"/>
          <w:szCs w:val="32"/>
        </w:rPr>
        <w:t>人次</w:t>
      </w:r>
      <w:r>
        <w:rPr>
          <w:rFonts w:hint="eastAsia" w:ascii="仿宋_GB2312" w:hAnsi="ˎ̥" w:eastAsia="仿宋_GB2312"/>
          <w:sz w:val="32"/>
          <w:szCs w:val="32"/>
          <w:lang w:val="en-US" w:eastAsia="zh-CN"/>
        </w:rPr>
        <w:t>。</w:t>
      </w:r>
    </w:p>
    <w:p w14:paraId="6D98A1F2">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公务接待费支出决算数比预算数减少</w:t>
      </w:r>
      <w:r>
        <w:rPr>
          <w:rFonts w:hint="eastAsia" w:ascii="仿宋_GB2312" w:hAnsi="ˎ̥" w:eastAsia="仿宋_GB2312"/>
          <w:sz w:val="32"/>
          <w:szCs w:val="32"/>
          <w:lang w:val="en-US" w:eastAsia="zh-CN"/>
        </w:rPr>
        <w:t>0.11</w:t>
      </w:r>
      <w:r>
        <w:rPr>
          <w:rFonts w:hint="eastAsia" w:ascii="仿宋_GB2312" w:hAnsi="ˎ̥" w:eastAsia="仿宋_GB2312"/>
          <w:sz w:val="32"/>
          <w:szCs w:val="32"/>
        </w:rPr>
        <w:t>万元，下降</w:t>
      </w:r>
      <w:r>
        <w:rPr>
          <w:rFonts w:hint="eastAsia" w:ascii="仿宋_GB2312" w:hAnsi="ˎ̥" w:eastAsia="仿宋_GB2312"/>
          <w:sz w:val="32"/>
          <w:szCs w:val="32"/>
          <w:lang w:val="en-US" w:eastAsia="zh-CN"/>
        </w:rPr>
        <w:t>22</w:t>
      </w:r>
      <w:r>
        <w:rPr>
          <w:rFonts w:hint="eastAsia" w:ascii="仿宋_GB2312" w:hAnsi="ˎ̥" w:eastAsia="仿宋_GB2312"/>
          <w:sz w:val="32"/>
          <w:szCs w:val="32"/>
        </w:rPr>
        <w:t>%。与2022年度</w:t>
      </w:r>
      <w:r>
        <w:rPr>
          <w:rFonts w:ascii="仿宋_GB2312" w:hAnsi="ˎ̥" w:eastAsia="仿宋_GB2312"/>
          <w:sz w:val="32"/>
          <w:szCs w:val="32"/>
        </w:rPr>
        <w:t>相比，</w:t>
      </w:r>
      <w:r>
        <w:rPr>
          <w:rFonts w:hint="eastAsia" w:ascii="仿宋_GB2312" w:hAnsi="ˎ̥" w:eastAsia="仿宋_GB2312"/>
          <w:bCs/>
          <w:sz w:val="32"/>
          <w:szCs w:val="32"/>
        </w:rPr>
        <w:t>公务接待费</w:t>
      </w:r>
      <w:r>
        <w:rPr>
          <w:rFonts w:hint="eastAsia" w:ascii="仿宋_GB2312" w:hAnsi="ˎ̥" w:eastAsia="仿宋_GB2312"/>
          <w:sz w:val="32"/>
          <w:szCs w:val="32"/>
        </w:rPr>
        <w:t>支出增加</w:t>
      </w:r>
      <w:r>
        <w:rPr>
          <w:rFonts w:hint="eastAsia" w:ascii="仿宋_GB2312" w:hAnsi="ˎ̥" w:eastAsia="仿宋_GB2312"/>
          <w:sz w:val="32"/>
          <w:szCs w:val="32"/>
          <w:lang w:val="en-US" w:eastAsia="zh-CN"/>
        </w:rPr>
        <w:t>0.19</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sz w:val="32"/>
          <w:szCs w:val="32"/>
          <w:lang w:val="en-US" w:eastAsia="zh-CN"/>
        </w:rPr>
        <w:t>48.72</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2022部分公务接待费用在2023年度报账</w:t>
      </w:r>
      <w:r>
        <w:rPr>
          <w:rFonts w:hint="eastAsia" w:ascii="仿宋_GB2312" w:hAnsi="ˎ̥" w:eastAsia="仿宋_GB2312"/>
          <w:sz w:val="32"/>
          <w:szCs w:val="32"/>
        </w:rPr>
        <w:t>。</w:t>
      </w:r>
    </w:p>
    <w:p w14:paraId="5D49833F">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年度“三公”经费预算数、决算数可取自财决公开09表，出国团组数、出国人次，公务用车购置数、公务用车保有量，接待团组数、接待人次可取自部门决算报表F03表《机构运行信息表》，2022年度相关</w:t>
      </w:r>
      <w:r>
        <w:rPr>
          <w:rFonts w:ascii="仿宋_GB2312" w:hAnsi="ˎ̥" w:eastAsia="仿宋_GB2312"/>
          <w:sz w:val="32"/>
          <w:szCs w:val="32"/>
        </w:rPr>
        <w:t>数据</w:t>
      </w:r>
      <w:r>
        <w:rPr>
          <w:rFonts w:hint="eastAsia" w:ascii="仿宋_GB2312" w:hAnsi="ˎ̥" w:eastAsia="仿宋_GB2312"/>
          <w:sz w:val="32"/>
          <w:szCs w:val="32"/>
        </w:rPr>
        <w:t>可取自2022年度</w:t>
      </w:r>
      <w:r>
        <w:rPr>
          <w:rFonts w:ascii="仿宋_GB2312" w:hAnsi="ˎ̥" w:eastAsia="仿宋_GB2312"/>
          <w:sz w:val="32"/>
          <w:szCs w:val="32"/>
        </w:rPr>
        <w:t>部门决算报表</w:t>
      </w:r>
      <w:r>
        <w:rPr>
          <w:rFonts w:hint="eastAsia" w:ascii="仿宋_GB2312" w:hAnsi="ˎ̥" w:eastAsia="仿宋_GB2312"/>
          <w:sz w:val="32"/>
          <w:szCs w:val="32"/>
        </w:rPr>
        <w:t>F03表《机构</w:t>
      </w:r>
      <w:r>
        <w:rPr>
          <w:rFonts w:ascii="仿宋_GB2312" w:hAnsi="ˎ̥" w:eastAsia="仿宋_GB2312"/>
          <w:sz w:val="32"/>
          <w:szCs w:val="32"/>
        </w:rPr>
        <w:t>运行信息表》</w:t>
      </w:r>
      <w:r>
        <w:rPr>
          <w:rFonts w:hint="eastAsia" w:ascii="仿宋_GB2312" w:hAnsi="ˎ̥" w:eastAsia="仿宋_GB2312"/>
          <w:sz w:val="32"/>
          <w:szCs w:val="32"/>
        </w:rPr>
        <w:t>）。</w:t>
      </w:r>
    </w:p>
    <w:p w14:paraId="1627DFF7">
      <w:pPr>
        <w:spacing w:line="57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十、预算绩效情况说明</w:t>
      </w:r>
    </w:p>
    <w:p w14:paraId="739B79B6">
      <w:pPr>
        <w:spacing w:line="578"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14:paraId="7C38C94F">
      <w:pPr>
        <w:spacing w:line="578" w:lineRule="exact"/>
        <w:ind w:firstLine="640" w:firstLineChars="200"/>
        <w:rPr>
          <w:rFonts w:hint="eastAsia" w:ascii="仿宋_GB2312" w:eastAsia="仿宋_GB2312"/>
          <w:sz w:val="32"/>
          <w:szCs w:val="32"/>
          <w:lang w:bidi="ar"/>
        </w:rPr>
      </w:pPr>
      <w:r>
        <w:rPr>
          <w:rFonts w:hint="eastAsia" w:ascii="仿宋_GB2312" w:eastAsia="仿宋_GB2312"/>
          <w:sz w:val="32"/>
          <w:szCs w:val="32"/>
        </w:rPr>
        <w:t>根据财政预算绩效管理要求，可按照如下格式说明：根据预算管理要求，我部门（单位）组织对202</w:t>
      </w:r>
      <w:r>
        <w:rPr>
          <w:rFonts w:ascii="仿宋_GB2312" w:eastAsia="仿宋_GB2312"/>
          <w:sz w:val="32"/>
          <w:szCs w:val="32"/>
        </w:rPr>
        <w:t>3</w:t>
      </w:r>
      <w:r>
        <w:rPr>
          <w:rFonts w:hint="eastAsia" w:ascii="仿宋_GB2312" w:eastAsia="仿宋_GB2312"/>
          <w:sz w:val="32"/>
          <w:szCs w:val="32"/>
        </w:rPr>
        <w:t>年度一般公共预算项目支出全面开展绩效自评。</w:t>
      </w:r>
      <w:r>
        <w:rPr>
          <w:rFonts w:hint="eastAsia" w:ascii="仿宋_GB2312" w:eastAsia="仿宋_GB2312"/>
          <w:sz w:val="32"/>
          <w:szCs w:val="32"/>
          <w:lang w:bidi="ar"/>
        </w:rPr>
        <w:t>其中，一级项目</w:t>
      </w:r>
      <w:r>
        <w:rPr>
          <w:rFonts w:hint="eastAsia" w:ascii="仿宋_GB2312" w:eastAsia="仿宋_GB2312"/>
          <w:sz w:val="32"/>
          <w:szCs w:val="32"/>
          <w:lang w:val="en-US" w:eastAsia="zh-CN" w:bidi="ar"/>
        </w:rPr>
        <w:t>0</w:t>
      </w:r>
      <w:r>
        <w:rPr>
          <w:rFonts w:hint="eastAsia" w:ascii="仿宋_GB2312" w:eastAsia="仿宋_GB2312"/>
          <w:sz w:val="32"/>
          <w:szCs w:val="32"/>
          <w:lang w:bidi="ar"/>
        </w:rPr>
        <w:t>个，二级项目</w:t>
      </w:r>
      <w:r>
        <w:rPr>
          <w:rFonts w:hint="eastAsia" w:ascii="仿宋_GB2312" w:eastAsia="仿宋_GB2312"/>
          <w:sz w:val="32"/>
          <w:szCs w:val="32"/>
          <w:lang w:val="en-US" w:eastAsia="zh-CN" w:bidi="ar"/>
        </w:rPr>
        <w:t>13</w:t>
      </w:r>
      <w:r>
        <w:rPr>
          <w:rFonts w:hint="eastAsia" w:ascii="仿宋_GB2312" w:eastAsia="仿宋_GB2312"/>
          <w:sz w:val="32"/>
          <w:szCs w:val="32"/>
          <w:lang w:bidi="ar"/>
        </w:rPr>
        <w:t>个，共涉及资金</w:t>
      </w:r>
      <w:r>
        <w:rPr>
          <w:rFonts w:hint="eastAsia" w:ascii="仿宋_GB2312" w:eastAsia="仿宋_GB2312"/>
          <w:sz w:val="32"/>
          <w:szCs w:val="32"/>
          <w:lang w:val="en-US" w:eastAsia="zh-CN" w:bidi="ar"/>
        </w:rPr>
        <w:t>518.90</w:t>
      </w:r>
      <w:r>
        <w:rPr>
          <w:rFonts w:hint="eastAsia" w:ascii="仿宋_GB2312" w:eastAsia="仿宋_GB2312"/>
          <w:sz w:val="32"/>
          <w:szCs w:val="32"/>
          <w:lang w:bidi="ar"/>
        </w:rPr>
        <w:t>万元，占一般公共预算项目支出总额的</w:t>
      </w:r>
      <w:r>
        <w:rPr>
          <w:rFonts w:hint="eastAsia" w:ascii="仿宋_GB2312" w:eastAsia="仿宋_GB2312"/>
          <w:sz w:val="32"/>
          <w:szCs w:val="32"/>
          <w:lang w:val="en-US" w:eastAsia="zh-CN" w:bidi="ar"/>
        </w:rPr>
        <w:t>22.30</w:t>
      </w:r>
      <w:r>
        <w:rPr>
          <w:rFonts w:hint="eastAsia" w:ascii="仿宋_GB2312" w:eastAsia="仿宋_GB2312"/>
          <w:sz w:val="32"/>
          <w:szCs w:val="32"/>
          <w:lang w:bidi="ar"/>
        </w:rPr>
        <w:t>%。202</w:t>
      </w:r>
      <w:r>
        <w:rPr>
          <w:rFonts w:ascii="仿宋_GB2312" w:eastAsia="仿宋_GB2312"/>
          <w:sz w:val="32"/>
          <w:szCs w:val="32"/>
          <w:lang w:bidi="ar"/>
        </w:rPr>
        <w:t>3</w:t>
      </w:r>
      <w:r>
        <w:rPr>
          <w:rFonts w:hint="eastAsia" w:ascii="仿宋_GB2312" w:eastAsia="仿宋_GB2312"/>
          <w:sz w:val="32"/>
          <w:szCs w:val="32"/>
          <w:lang w:bidi="ar"/>
        </w:rPr>
        <w:t>年度</w:t>
      </w:r>
      <w:r>
        <w:rPr>
          <w:rFonts w:hint="eastAsia" w:ascii="仿宋_GB2312" w:eastAsia="仿宋_GB2312"/>
          <w:sz w:val="32"/>
          <w:szCs w:val="32"/>
          <w:lang w:val="en-US" w:eastAsia="zh-CN" w:bidi="ar"/>
        </w:rPr>
        <w:t>县市场监督管理局没有</w:t>
      </w:r>
      <w:r>
        <w:rPr>
          <w:rFonts w:hint="eastAsia" w:ascii="仿宋_GB2312" w:eastAsia="仿宋_GB2312"/>
          <w:sz w:val="32"/>
          <w:szCs w:val="32"/>
          <w:lang w:bidi="ar"/>
        </w:rPr>
        <w:t>政府性基金预算项目</w:t>
      </w:r>
      <w:r>
        <w:rPr>
          <w:rFonts w:hint="eastAsia" w:ascii="仿宋_GB2312" w:eastAsia="仿宋_GB2312"/>
          <w:sz w:val="32"/>
          <w:szCs w:val="32"/>
          <w:lang w:val="en-US" w:eastAsia="zh-CN" w:bidi="ar"/>
        </w:rPr>
        <w:t>及</w:t>
      </w:r>
      <w:r>
        <w:rPr>
          <w:rFonts w:hint="eastAsia" w:ascii="仿宋_GB2312" w:eastAsia="仿宋_GB2312"/>
          <w:sz w:val="32"/>
          <w:szCs w:val="32"/>
          <w:lang w:bidi="ar"/>
        </w:rPr>
        <w:t>国有资本经营预算项目。</w:t>
      </w:r>
    </w:p>
    <w:p w14:paraId="7FF2CB06">
      <w:pPr>
        <w:spacing w:line="578" w:lineRule="exact"/>
        <w:ind w:firstLine="640" w:firstLineChars="200"/>
        <w:rPr>
          <w:rFonts w:hint="eastAsia" w:ascii="仿宋_GB2312" w:hAnsi="Times New Roman" w:eastAsia="仿宋_GB2312" w:cs="Times New Roman"/>
          <w:i w:val="0"/>
          <w:iCs w:val="0"/>
          <w:caps w:val="0"/>
          <w:spacing w:val="0"/>
          <w:kern w:val="2"/>
          <w:sz w:val="32"/>
          <w:szCs w:val="32"/>
          <w:shd w:val="clear"/>
          <w:lang w:val="en-US" w:eastAsia="zh-CN" w:bidi="ar-SA"/>
        </w:rPr>
      </w:pPr>
      <w:r>
        <w:rPr>
          <w:rFonts w:hint="eastAsia" w:ascii="仿宋_GB2312" w:eastAsia="仿宋_GB2312"/>
          <w:sz w:val="32"/>
          <w:szCs w:val="32"/>
          <w:lang w:val="en-US" w:eastAsia="zh-CN" w:bidi="ar"/>
        </w:rPr>
        <w:t>临高县市场监督管理局</w:t>
      </w:r>
      <w:r>
        <w:rPr>
          <w:rFonts w:hint="eastAsia" w:ascii="仿宋_GB2312" w:hAnsi="Times New Roman" w:eastAsia="仿宋_GB2312" w:cs="Times New Roman"/>
          <w:kern w:val="2"/>
          <w:sz w:val="32"/>
          <w:szCs w:val="32"/>
          <w:lang w:bidi="ar-SA"/>
        </w:rPr>
        <w:t>共组织对“</w:t>
      </w:r>
      <w:r>
        <w:rPr>
          <w:rFonts w:hint="eastAsia" w:ascii="仿宋_GB2312" w:hAnsi="Times New Roman" w:eastAsia="仿宋_GB2312" w:cs="Times New Roman"/>
          <w:kern w:val="2"/>
          <w:sz w:val="32"/>
          <w:szCs w:val="32"/>
          <w:lang w:val="en-US" w:eastAsia="zh-CN" w:bidi="ar-SA"/>
        </w:rPr>
        <w:t>食品药品安全保障</w:t>
      </w:r>
      <w:r>
        <w:rPr>
          <w:rFonts w:hint="eastAsia" w:ascii="仿宋_GB2312" w:hAnsi="Times New Roman" w:eastAsia="仿宋_GB2312" w:cs="Times New Roman"/>
          <w:kern w:val="2"/>
          <w:sz w:val="32"/>
          <w:szCs w:val="32"/>
          <w:lang w:bidi="ar-SA"/>
        </w:rPr>
        <w:t>”等</w:t>
      </w:r>
      <w:r>
        <w:rPr>
          <w:rFonts w:hint="eastAsia" w:ascii="仿宋_GB2312" w:hAnsi="Times New Roman" w:eastAsia="仿宋_GB2312" w:cs="Times New Roman"/>
          <w:kern w:val="2"/>
          <w:sz w:val="32"/>
          <w:szCs w:val="32"/>
          <w:lang w:val="en-US" w:eastAsia="zh-CN" w:bidi="ar-SA"/>
        </w:rPr>
        <w:t>13</w:t>
      </w:r>
      <w:r>
        <w:rPr>
          <w:rFonts w:hint="eastAsia" w:ascii="仿宋_GB2312" w:hAnsi="Times New Roman" w:eastAsia="仿宋_GB2312" w:cs="Times New Roman"/>
          <w:kern w:val="2"/>
          <w:sz w:val="32"/>
          <w:szCs w:val="32"/>
          <w:lang w:bidi="ar-SA"/>
        </w:rPr>
        <w:t>个项目开展了部门评价，涉及一般公共预算支出</w:t>
      </w:r>
      <w:r>
        <w:rPr>
          <w:rFonts w:hint="eastAsia" w:ascii="仿宋_GB2312" w:hAnsi="Times New Roman" w:eastAsia="仿宋_GB2312" w:cs="Times New Roman"/>
          <w:kern w:val="2"/>
          <w:sz w:val="32"/>
          <w:szCs w:val="32"/>
          <w:lang w:val="en-US" w:eastAsia="zh-CN" w:bidi="ar-SA"/>
        </w:rPr>
        <w:t>518.90</w:t>
      </w:r>
      <w:r>
        <w:rPr>
          <w:rFonts w:hint="eastAsia" w:ascii="仿宋_GB2312" w:hAnsi="Times New Roman" w:eastAsia="仿宋_GB2312" w:cs="Times New Roman"/>
          <w:kern w:val="2"/>
          <w:sz w:val="32"/>
          <w:szCs w:val="32"/>
          <w:lang w:bidi="ar-SA"/>
        </w:rPr>
        <w:t>万元。从评价情况来看，</w:t>
      </w:r>
      <w:r>
        <w:rPr>
          <w:rFonts w:hint="eastAsia" w:ascii="仿宋_GB2312" w:hAnsi="仿宋_GB2312" w:eastAsia="仿宋_GB2312" w:cs="仿宋_GB2312"/>
          <w:b w:val="0"/>
          <w:bCs w:val="0"/>
          <w:color w:val="auto"/>
          <w:sz w:val="32"/>
          <w:szCs w:val="32"/>
          <w:lang w:eastAsia="zh-CN"/>
        </w:rPr>
        <w:t>临高县市场监管局以习近平新时代中国特色社会主义思想为指导，紧紧围绕县委、县政府中心工作和省市场监管局安排部署，统筹</w:t>
      </w:r>
      <w:r>
        <w:rPr>
          <w:rFonts w:hint="eastAsia" w:ascii="仿宋_GB2312" w:hAnsi="仿宋_GB2312" w:eastAsia="仿宋_GB2312" w:cs="仿宋_GB2312"/>
          <w:b w:val="0"/>
          <w:bCs w:val="0"/>
          <w:color w:val="auto"/>
          <w:sz w:val="32"/>
          <w:szCs w:val="32"/>
          <w:lang w:val="en-US" w:eastAsia="zh-CN"/>
        </w:rPr>
        <w:t>干部意识形态教育</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lang w:val="en-US" w:eastAsia="zh-CN"/>
        </w:rPr>
        <w:t>高质量</w:t>
      </w:r>
      <w:r>
        <w:rPr>
          <w:rFonts w:hint="eastAsia" w:ascii="仿宋_GB2312" w:hAnsi="仿宋_GB2312" w:eastAsia="仿宋_GB2312" w:cs="仿宋_GB2312"/>
          <w:b w:val="0"/>
          <w:bCs w:val="0"/>
          <w:color w:val="auto"/>
          <w:sz w:val="32"/>
          <w:szCs w:val="32"/>
          <w:lang w:eastAsia="zh-CN"/>
        </w:rPr>
        <w:t>发展工作，持续</w:t>
      </w:r>
      <w:r>
        <w:rPr>
          <w:rFonts w:hint="eastAsia" w:ascii="仿宋_GB2312" w:hAnsi="仿宋_GB2312" w:eastAsia="仿宋_GB2312" w:cs="仿宋_GB2312"/>
          <w:b w:val="0"/>
          <w:bCs w:val="0"/>
          <w:color w:val="auto"/>
          <w:sz w:val="32"/>
          <w:szCs w:val="32"/>
          <w:lang w:val="en-US" w:eastAsia="zh-CN"/>
        </w:rPr>
        <w:t>推进学习贯彻习近平新时代中国特色社会主义主题教育</w:t>
      </w:r>
      <w:r>
        <w:rPr>
          <w:rFonts w:hint="eastAsia" w:ascii="仿宋_GB2312" w:hAnsi="仿宋_GB2312" w:eastAsia="仿宋_GB2312" w:cs="仿宋_GB2312"/>
          <w:i w:val="0"/>
          <w:iCs w:val="0"/>
          <w:caps w:val="0"/>
          <w:color w:val="auto"/>
          <w:spacing w:val="0"/>
          <w:sz w:val="32"/>
          <w:szCs w:val="32"/>
          <w:shd w:val="clear" w:fill="FFFFFF"/>
          <w:lang w:val="en-US" w:eastAsia="zh-CN"/>
        </w:rPr>
        <w:t>、营商环境建设、食品药品安全监管、知识产权保护工作取得良好进展</w:t>
      </w:r>
      <w:r>
        <w:rPr>
          <w:rFonts w:hint="eastAsia" w:ascii="仿宋_GB2312" w:hAnsi="Times New Roman" w:eastAsia="仿宋_GB2312" w:cs="Times New Roman"/>
          <w:i w:val="0"/>
          <w:iCs w:val="0"/>
          <w:caps w:val="0"/>
          <w:spacing w:val="0"/>
          <w:kern w:val="2"/>
          <w:sz w:val="32"/>
          <w:szCs w:val="32"/>
          <w:shd w:val="clear"/>
          <w:lang w:val="en-US" w:eastAsia="zh-CN" w:bidi="ar-SA"/>
        </w:rPr>
        <w:t>。一是市场建设加快推进，营商环境持续优化。市场准入准营退出全链条更加便利，市场环境更加公平有序。市场消费更加安全放心。二是制度规范更加扎实，质量发展稳步提升。三是</w:t>
      </w:r>
      <w:r>
        <w:rPr>
          <w:rFonts w:hint="eastAsia" w:ascii="仿宋_GB2312" w:hAnsi="Times New Roman" w:eastAsia="仿宋_GB2312" w:cs="Times New Roman"/>
          <w:b w:val="0"/>
          <w:bCs w:val="0"/>
          <w:i w:val="0"/>
          <w:iCs w:val="0"/>
          <w:caps w:val="0"/>
          <w:spacing w:val="0"/>
          <w:kern w:val="2"/>
          <w:sz w:val="32"/>
          <w:szCs w:val="32"/>
          <w:shd w:val="clear"/>
          <w:lang w:val="en-US" w:eastAsia="zh-CN" w:bidi="ar-SA"/>
        </w:rPr>
        <w:t>全面筑牢</w:t>
      </w:r>
      <w:r>
        <w:rPr>
          <w:rFonts w:hint="eastAsia" w:ascii="仿宋_GB2312" w:hAnsi="Times New Roman" w:eastAsia="仿宋_GB2312" w:cs="Times New Roman"/>
          <w:b w:val="0"/>
          <w:bCs w:val="0"/>
          <w:i w:val="0"/>
          <w:iCs w:val="0"/>
          <w:caps w:val="0"/>
          <w:spacing w:val="0"/>
          <w:kern w:val="2"/>
          <w:sz w:val="32"/>
          <w:szCs w:val="32"/>
          <w:shd w:val="clear"/>
          <w:lang w:eastAsia="zh-CN" w:bidi="ar-SA"/>
        </w:rPr>
        <w:t>安全底线，</w:t>
      </w:r>
      <w:r>
        <w:rPr>
          <w:rFonts w:hint="eastAsia" w:ascii="仿宋_GB2312" w:hAnsi="Times New Roman" w:eastAsia="仿宋_GB2312" w:cs="Times New Roman"/>
          <w:b w:val="0"/>
          <w:bCs w:val="0"/>
          <w:i w:val="0"/>
          <w:iCs w:val="0"/>
          <w:caps w:val="0"/>
          <w:spacing w:val="0"/>
          <w:kern w:val="2"/>
          <w:sz w:val="32"/>
          <w:szCs w:val="32"/>
          <w:shd w:val="clear"/>
          <w:lang w:val="en-US" w:eastAsia="zh-CN" w:bidi="ar-SA"/>
        </w:rPr>
        <w:t>推动我县高质量发展</w:t>
      </w:r>
      <w:r>
        <w:rPr>
          <w:rFonts w:hint="eastAsia" w:ascii="仿宋_GB2312" w:hAnsi="Times New Roman" w:eastAsia="仿宋_GB2312" w:cs="Times New Roman"/>
          <w:i w:val="0"/>
          <w:iCs w:val="0"/>
          <w:caps w:val="0"/>
          <w:spacing w:val="0"/>
          <w:kern w:val="2"/>
          <w:sz w:val="32"/>
          <w:szCs w:val="32"/>
          <w:shd w:val="clear"/>
          <w:lang w:val="en-US" w:eastAsia="zh-CN" w:bidi="ar-SA"/>
        </w:rPr>
        <w:t>；四是高质量发展考核有力推进。</w:t>
      </w:r>
    </w:p>
    <w:p w14:paraId="22C42CCE">
      <w:pPr>
        <w:pStyle w:val="2"/>
        <w:widowControl/>
        <w:pBdr>
          <w:top w:val="none" w:color="auto" w:sz="0" w:space="0"/>
          <w:left w:val="none" w:color="auto" w:sz="0" w:space="0"/>
          <w:bottom w:val="none" w:color="auto" w:sz="0" w:space="0"/>
          <w:right w:val="none" w:color="auto" w:sz="0" w:space="0"/>
        </w:pBdr>
        <w:spacing w:line="560" w:lineRule="exact"/>
        <w:ind w:firstLine="640" w:firstLineChars="0"/>
        <w:rPr>
          <w:rFonts w:hint="eastAsia" w:ascii="仿宋" w:hAnsi="仿宋" w:eastAsia="仿宋"/>
          <w:sz w:val="32"/>
          <w:szCs w:val="32"/>
          <w:shd w:val="clear" w:color="auto" w:fill="FFFFFF"/>
          <w:lang w:eastAsia="zh-CN"/>
        </w:rPr>
      </w:pPr>
      <w:r>
        <w:rPr>
          <w:rFonts w:hint="eastAsia" w:ascii="仿宋" w:hAnsi="仿宋" w:eastAsia="仿宋"/>
          <w:sz w:val="32"/>
          <w:szCs w:val="32"/>
          <w:shd w:val="clear" w:color="auto" w:fill="FFFFFF"/>
        </w:rPr>
        <w:t>20</w:t>
      </w:r>
      <w:r>
        <w:rPr>
          <w:rFonts w:hint="eastAsia" w:ascii="仿宋" w:hAnsi="仿宋" w:eastAsia="仿宋"/>
          <w:sz w:val="32"/>
          <w:szCs w:val="32"/>
          <w:shd w:val="clear" w:color="auto" w:fill="FFFFFF"/>
          <w:lang w:val="en-US" w:eastAsia="zh-CN"/>
        </w:rPr>
        <w:t>23</w:t>
      </w:r>
      <w:r>
        <w:rPr>
          <w:rFonts w:hint="eastAsia" w:ascii="仿宋" w:hAnsi="仿宋" w:eastAsia="仿宋"/>
          <w:sz w:val="32"/>
          <w:szCs w:val="32"/>
          <w:shd w:val="clear" w:color="auto" w:fill="FFFFFF"/>
        </w:rPr>
        <w:t>年</w:t>
      </w:r>
      <w:r>
        <w:rPr>
          <w:rFonts w:hint="eastAsia" w:ascii="仿宋" w:hAnsi="仿宋" w:eastAsia="仿宋"/>
          <w:sz w:val="32"/>
          <w:szCs w:val="32"/>
          <w:shd w:val="clear" w:color="auto" w:fill="FFFFFF"/>
          <w:lang w:eastAsia="zh-CN"/>
        </w:rPr>
        <w:t>临高县市场监督</w:t>
      </w:r>
      <w:r>
        <w:rPr>
          <w:rFonts w:hint="eastAsia" w:ascii="仿宋" w:hAnsi="仿宋" w:eastAsia="仿宋"/>
          <w:sz w:val="32"/>
          <w:szCs w:val="32"/>
          <w:shd w:val="clear" w:color="auto" w:fill="FFFFFF"/>
        </w:rPr>
        <w:t>管理局预算管理、职责履行</w:t>
      </w:r>
      <w:r>
        <w:rPr>
          <w:rFonts w:hint="eastAsia" w:ascii="仿宋" w:hAnsi="仿宋" w:eastAsia="仿宋"/>
          <w:sz w:val="32"/>
          <w:szCs w:val="32"/>
          <w:shd w:val="clear" w:color="auto" w:fill="FFFFFF"/>
          <w:lang w:eastAsia="zh-CN"/>
        </w:rPr>
        <w:t>情况良好</w:t>
      </w:r>
      <w:r>
        <w:rPr>
          <w:rFonts w:hint="eastAsia" w:ascii="仿宋" w:hAnsi="仿宋" w:eastAsia="仿宋"/>
          <w:sz w:val="32"/>
          <w:szCs w:val="32"/>
          <w:shd w:val="clear" w:color="auto" w:fill="FFFFFF"/>
        </w:rPr>
        <w:t>。部门资金使用合规性</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预决算信息公开性、基础信息完善性、项目质量达标率和活动关键指标达标率等都</w:t>
      </w:r>
      <w:r>
        <w:rPr>
          <w:rFonts w:hint="eastAsia" w:ascii="仿宋" w:hAnsi="仿宋" w:eastAsia="仿宋"/>
          <w:sz w:val="32"/>
          <w:szCs w:val="32"/>
          <w:shd w:val="clear" w:color="auto" w:fill="FFFFFF"/>
          <w:lang w:val="en-US" w:eastAsia="zh-CN"/>
        </w:rPr>
        <w:t>达到要求</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但</w:t>
      </w:r>
      <w:r>
        <w:rPr>
          <w:rFonts w:hint="eastAsia" w:ascii="仿宋" w:hAnsi="仿宋" w:eastAsia="仿宋"/>
          <w:sz w:val="32"/>
          <w:szCs w:val="32"/>
          <w:shd w:val="clear" w:color="auto" w:fill="FFFFFF"/>
          <w:lang w:val="en-US" w:eastAsia="zh-CN"/>
        </w:rPr>
        <w:t>部分</w:t>
      </w:r>
      <w:r>
        <w:rPr>
          <w:rFonts w:hint="eastAsia" w:ascii="仿宋" w:hAnsi="仿宋" w:eastAsia="仿宋"/>
          <w:sz w:val="32"/>
          <w:szCs w:val="32"/>
          <w:shd w:val="clear" w:color="auto" w:fill="FFFFFF"/>
          <w:lang w:eastAsia="zh-CN"/>
        </w:rPr>
        <w:t>项目</w:t>
      </w:r>
      <w:r>
        <w:rPr>
          <w:rFonts w:hint="eastAsia" w:ascii="仿宋" w:hAnsi="仿宋" w:eastAsia="仿宋"/>
          <w:sz w:val="32"/>
          <w:szCs w:val="32"/>
          <w:shd w:val="clear" w:color="auto" w:fill="FFFFFF"/>
          <w:lang w:val="en-US" w:eastAsia="zh-CN"/>
        </w:rPr>
        <w:t>执行</w:t>
      </w:r>
      <w:r>
        <w:rPr>
          <w:rFonts w:hint="eastAsia" w:ascii="仿宋" w:hAnsi="仿宋" w:eastAsia="仿宋"/>
          <w:sz w:val="32"/>
          <w:szCs w:val="32"/>
          <w:shd w:val="clear" w:color="auto" w:fill="FFFFFF"/>
          <w:lang w:eastAsia="zh-CN"/>
        </w:rPr>
        <w:t>率</w:t>
      </w:r>
      <w:r>
        <w:rPr>
          <w:rFonts w:hint="eastAsia" w:ascii="仿宋" w:hAnsi="仿宋" w:eastAsia="仿宋"/>
          <w:sz w:val="32"/>
          <w:szCs w:val="32"/>
          <w:shd w:val="clear" w:color="auto" w:fill="FFFFFF"/>
          <w:lang w:val="en-US" w:eastAsia="zh-CN"/>
        </w:rPr>
        <w:t>仍不</w:t>
      </w:r>
      <w:r>
        <w:rPr>
          <w:rFonts w:hint="eastAsia" w:ascii="仿宋" w:hAnsi="仿宋" w:eastAsia="仿宋"/>
          <w:sz w:val="32"/>
          <w:szCs w:val="32"/>
          <w:shd w:val="clear" w:color="auto" w:fill="FFFFFF"/>
          <w:lang w:eastAsia="zh-CN"/>
        </w:rPr>
        <w:t>理想。</w:t>
      </w:r>
    </w:p>
    <w:p w14:paraId="39B08D0E">
      <w:pPr>
        <w:spacing w:line="578" w:lineRule="exact"/>
        <w:ind w:firstLine="640" w:firstLineChars="200"/>
        <w:rPr>
          <w:rFonts w:ascii="楷体" w:hAnsi="楷体" w:eastAsia="楷体" w:cs="楷体"/>
          <w:bCs/>
          <w:sz w:val="32"/>
          <w:szCs w:val="32"/>
        </w:rPr>
      </w:pPr>
      <w:r>
        <w:rPr>
          <w:rFonts w:hint="eastAsia" w:ascii="楷体" w:hAnsi="楷体" w:eastAsia="楷体" w:cs="楷体"/>
          <w:bCs/>
          <w:sz w:val="32"/>
          <w:szCs w:val="32"/>
        </w:rPr>
        <w:t>（二）部门决算中项目绩效自评结果（预算部门、单位可根据实际情况反映重点项目绩效自评结果）。</w:t>
      </w:r>
    </w:p>
    <w:p w14:paraId="61DA3FCB">
      <w:pPr>
        <w:spacing w:line="578"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我单位</w:t>
      </w:r>
      <w:r>
        <w:rPr>
          <w:rFonts w:hint="eastAsia" w:ascii="仿宋_GB2312" w:eastAsia="仿宋_GB2312"/>
          <w:sz w:val="32"/>
          <w:szCs w:val="32"/>
        </w:rPr>
        <w:t>在部门决算中反映</w:t>
      </w:r>
      <w:r>
        <w:rPr>
          <w:rFonts w:hint="eastAsia" w:ascii="仿宋_GB2312" w:eastAsia="仿宋_GB2312"/>
          <w:sz w:val="32"/>
          <w:szCs w:val="32"/>
          <w:lang w:val="en-US" w:eastAsia="zh-CN"/>
        </w:rPr>
        <w:t>食品药品安全保障、市场监管</w:t>
      </w:r>
      <w:r>
        <w:rPr>
          <w:rFonts w:hint="eastAsia" w:ascii="仿宋_GB2312" w:eastAsia="仿宋_GB2312"/>
          <w:sz w:val="32"/>
          <w:szCs w:val="32"/>
        </w:rPr>
        <w:t>等</w:t>
      </w:r>
      <w:r>
        <w:rPr>
          <w:rFonts w:hint="eastAsia" w:ascii="仿宋_GB2312" w:eastAsia="仿宋_GB2312"/>
          <w:sz w:val="32"/>
          <w:szCs w:val="32"/>
          <w:lang w:val="en-US" w:eastAsia="zh-CN"/>
        </w:rPr>
        <w:t>13</w:t>
      </w:r>
      <w:r>
        <w:rPr>
          <w:rFonts w:hint="eastAsia" w:ascii="仿宋_GB2312" w:eastAsia="仿宋_GB2312"/>
          <w:sz w:val="32"/>
          <w:szCs w:val="32"/>
        </w:rPr>
        <w:t>个项目绩效自评结果（包括项目绩效自评表和项目绩效自评报告）。</w:t>
      </w:r>
    </w:p>
    <w:p w14:paraId="6842DD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sz w:val="32"/>
          <w:szCs w:val="32"/>
          <w:lang w:val="en-US" w:eastAsia="zh-CN"/>
        </w:rPr>
        <w:t>1.食品药品安全保障</w:t>
      </w:r>
      <w:r>
        <w:rPr>
          <w:rFonts w:hint="eastAsia" w:ascii="仿宋_GB2312" w:eastAsia="仿宋_GB2312"/>
          <w:sz w:val="32"/>
          <w:szCs w:val="32"/>
        </w:rPr>
        <w:t>项目绩效自评表：</w:t>
      </w:r>
      <w:r>
        <w:rPr>
          <w:rFonts w:hint="eastAsia" w:ascii="仿宋_GB2312" w:eastAsia="仿宋_GB2312"/>
          <w:color w:val="000000"/>
          <w:sz w:val="32"/>
          <w:szCs w:val="32"/>
          <w:highlight w:val="none"/>
          <w:lang w:val="en-US" w:eastAsia="zh-CN"/>
        </w:rPr>
        <w:t>全年预算数100万元，执行数84.16万元。完成预算的84.16%。项目绩效目标完成情况：</w:t>
      </w:r>
    </w:p>
    <w:p w14:paraId="7B95BBC6">
      <w:pPr>
        <w:spacing w:line="578"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食品部分：1.完成省抽、国抽307批次，食用农产品抽检426批次，评价性抽检210批次、校园及周边专项抽检87批次。元旦春节专项抽检13批次。 2.开展食品安全宣传周活动;全年共开展食品安全科普宣传7次;开展食品安全知识进校园宣传活动，共计宣传学生300余人次，发放宣传册300余份，放置展板60张。 3.对全县324名中小学校（幼儿园）校长（园长）、分管食品安全的中小学校副校长、食堂食品安全管理员进行培训。 </w:t>
      </w:r>
    </w:p>
    <w:p w14:paraId="4F6B6700">
      <w:pPr>
        <w:spacing w:line="578"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药品部分：1.完成全年药品省级抽样37批次，化妆品国抽20批次抽样工作； 2.全年共检查涉药涉械涉化单位403家次，出动执法人员271人次，车辆82车次，移交县执法局案件线索24条，配合移交涉嫌犯罪的违法行为3宗，下达责令改正通知书36份。检查发现问题处置率100%，问题整改率100%，对涉嫌犯罪的违法行为移送司法机关率100%； 3.在2.国家不良反应监测系统中统计临高分中心已上报药品不良反应报告共630例，上报率115.4%，其中，新的一般213例，上报率155.5%，严重58例，上报率为105.5%；已上报医疗器械不良事件报告210例，上报率125%，其中严重不良事件15例，上报率107.1%；已上报化妆品不良反应报告27例，上报率108%。超额完成“两品一械”不良反应监测各项工作任务，且均超过《三年行动计划》预期性指标。</w:t>
      </w:r>
    </w:p>
    <w:p w14:paraId="7C3989A7">
      <w:pPr>
        <w:spacing w:line="578" w:lineRule="exact"/>
        <w:ind w:firstLine="640" w:firstLineChars="200"/>
        <w:rPr>
          <w:rFonts w:hint="default" w:ascii="仿宋_GB2312" w:hAnsi="Times New Roman" w:eastAsia="仿宋_GB2312" w:cs="Times New Roman"/>
          <w:sz w:val="32"/>
          <w:szCs w:val="32"/>
          <w:lang w:val="en-US" w:eastAsia="zh-CN"/>
        </w:rPr>
      </w:pPr>
      <w:r>
        <w:rPr>
          <w:rFonts w:hint="eastAsia" w:ascii="仿宋_GB2312"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知识产权管理</w:t>
      </w:r>
      <w:r>
        <w:rPr>
          <w:rFonts w:hint="eastAsia" w:ascii="仿宋_GB2312" w:hAnsi="Times New Roman" w:eastAsia="仿宋_GB2312" w:cs="Times New Roman"/>
          <w:sz w:val="32"/>
          <w:szCs w:val="32"/>
        </w:rPr>
        <w:t>项目绩效自评表：</w:t>
      </w:r>
      <w:r>
        <w:rPr>
          <w:rFonts w:hint="eastAsia" w:ascii="仿宋_GB2312" w:hAnsi="Times New Roman" w:eastAsia="仿宋_GB2312" w:cs="Times New Roman"/>
          <w:sz w:val="32"/>
          <w:szCs w:val="32"/>
          <w:lang w:val="en-US" w:eastAsia="zh-CN"/>
        </w:rPr>
        <w:t>全年预算数为47万元，执行数9.20万元。完成预算的19.58%。项目绩效目标完成情况：一是</w:t>
      </w:r>
      <w:r>
        <w:rPr>
          <w:rFonts w:hint="eastAsia" w:ascii="仿宋_GB2312" w:hAnsi="Times New Roman" w:eastAsia="仿宋_GB2312" w:cs="Times New Roman"/>
          <w:sz w:val="32"/>
          <w:szCs w:val="32"/>
        </w:rPr>
        <w:t>开展知识产权宣传周活动，组织县宣传部、县公安局、县农业农村局、县林业局、县旅文局、县商务局、县综合执法局等部门线下宣传活动；县融媒体播放知识产权宣传视频；临高县第二中学组织开展知识产权保护主题班会等宣传活动。</w:t>
      </w:r>
      <w:r>
        <w:rPr>
          <w:rFonts w:hint="eastAsia" w:ascii="仿宋_GB2312" w:hAnsi="Times New Roman" w:eastAsia="仿宋_GB2312" w:cs="Times New Roman"/>
          <w:sz w:val="32"/>
          <w:szCs w:val="32"/>
          <w:lang w:val="en-US" w:eastAsia="zh-CN"/>
        </w:rPr>
        <w:t>二是</w:t>
      </w:r>
      <w:r>
        <w:rPr>
          <w:rFonts w:hint="eastAsia" w:ascii="仿宋_GB2312" w:hAnsi="Times New Roman" w:eastAsia="仿宋_GB2312" w:cs="Times New Roman"/>
          <w:sz w:val="32"/>
          <w:szCs w:val="32"/>
        </w:rPr>
        <w:t>4月20日，举办临高县金牌港开发区知识产权保护暨专利倍增培训会；9月15日，临高县市监局联合临高县农业农村局举办临高县商标富农暨农产品品牌创建专题培训；7月19日，举办临高乳猪地理标志专用标志使用培训会；12月11日，举办临高县2023年知识产权保护工作培训。</w:t>
      </w:r>
      <w:r>
        <w:rPr>
          <w:rFonts w:hint="eastAsia" w:ascii="仿宋_GB2312" w:hAnsi="Times New Roman" w:eastAsia="仿宋_GB2312" w:cs="Times New Roman"/>
          <w:sz w:val="32"/>
          <w:szCs w:val="32"/>
          <w:lang w:val="en-US" w:eastAsia="zh-CN"/>
        </w:rPr>
        <w:t>三是</w:t>
      </w:r>
      <w:r>
        <w:rPr>
          <w:rFonts w:hint="eastAsia" w:ascii="仿宋_GB2312" w:hAnsi="Times New Roman" w:eastAsia="仿宋_GB2312" w:cs="Times New Roman"/>
          <w:sz w:val="32"/>
          <w:szCs w:val="32"/>
        </w:rPr>
        <w:t xml:space="preserve">2023年共立案查处知识产权类案件23宗，比去年增加43%。其中，商标侵权类案件7宗，假冒专利案件7宗，地理标志案件1宗，版权类案件8宗，有效的净化了我县知识产权工作环境，优化营商环境。 </w:t>
      </w:r>
      <w:r>
        <w:rPr>
          <w:rFonts w:hint="eastAsia" w:ascii="仿宋_GB2312" w:hAnsi="Times New Roman" w:eastAsia="仿宋_GB2312" w:cs="Times New Roman"/>
          <w:sz w:val="32"/>
          <w:szCs w:val="32"/>
          <w:lang w:val="en-US" w:eastAsia="zh-CN"/>
        </w:rPr>
        <w:t>四是</w:t>
      </w:r>
      <w:r>
        <w:rPr>
          <w:rFonts w:hint="eastAsia" w:ascii="仿宋_GB2312" w:hAnsi="Times New Roman" w:eastAsia="仿宋_GB2312" w:cs="Times New Roman"/>
          <w:sz w:val="32"/>
          <w:szCs w:val="32"/>
        </w:rPr>
        <w:t>指导县农业农村局申请地理标志商标3件。</w:t>
      </w:r>
    </w:p>
    <w:p w14:paraId="42DD1EC1">
      <w:pPr>
        <w:spacing w:line="578"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3.产品质量检验</w:t>
      </w:r>
      <w:r>
        <w:rPr>
          <w:rFonts w:hint="eastAsia" w:ascii="仿宋_GB2312" w:hAnsi="Times New Roman" w:eastAsia="仿宋_GB2312" w:cs="Times New Roman"/>
          <w:sz w:val="32"/>
          <w:szCs w:val="32"/>
        </w:rPr>
        <w:t>项目绩效自评表：</w:t>
      </w:r>
      <w:r>
        <w:rPr>
          <w:rFonts w:hint="eastAsia" w:ascii="仿宋_GB2312" w:hAnsi="Times New Roman" w:eastAsia="仿宋_GB2312" w:cs="Times New Roman"/>
          <w:sz w:val="32"/>
          <w:szCs w:val="32"/>
          <w:lang w:val="en-US" w:eastAsia="zh-CN"/>
        </w:rPr>
        <w:t>全年预算数为</w:t>
      </w:r>
      <w:r>
        <w:rPr>
          <w:rFonts w:hint="eastAsia" w:ascii="仿宋_GB2312" w:eastAsia="仿宋_GB2312" w:cs="Times New Roman"/>
          <w:sz w:val="32"/>
          <w:szCs w:val="32"/>
          <w:lang w:val="en-US" w:eastAsia="zh-CN"/>
        </w:rPr>
        <w:t>30</w:t>
      </w:r>
      <w:r>
        <w:rPr>
          <w:rFonts w:hint="eastAsia" w:ascii="仿宋_GB2312" w:hAnsi="Times New Roman" w:eastAsia="仿宋_GB2312" w:cs="Times New Roman"/>
          <w:sz w:val="32"/>
          <w:szCs w:val="32"/>
          <w:lang w:val="en-US" w:eastAsia="zh-CN"/>
        </w:rPr>
        <w:t>万元，执行数</w:t>
      </w:r>
      <w:r>
        <w:rPr>
          <w:rFonts w:hint="eastAsia" w:ascii="仿宋_GB2312" w:eastAsia="仿宋_GB2312" w:cs="Times New Roman"/>
          <w:sz w:val="32"/>
          <w:szCs w:val="32"/>
          <w:lang w:val="en-US" w:eastAsia="zh-CN"/>
        </w:rPr>
        <w:t>15.44万元。完成预算的51.46%。项目绩效目标完成情况：一是开展2023年度流通领域及生产领域产品质量抽检工作，共计抽查了60批次产品，其中不合格产品批次为5批次。 二是保质保量完成2023年制造业产品合格率抽检任务，共抽检19家企业，样品19批次，加权后总体合格率97.01%。</w:t>
      </w:r>
    </w:p>
    <w:p w14:paraId="2C799377">
      <w:pPr>
        <w:spacing w:line="578" w:lineRule="exact"/>
        <w:ind w:firstLine="640" w:firstLineChars="200"/>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4.市场监管</w:t>
      </w:r>
      <w:r>
        <w:rPr>
          <w:rFonts w:hint="eastAsia" w:ascii="仿宋_GB2312" w:hAnsi="Times New Roman" w:eastAsia="仿宋_GB2312" w:cs="Times New Roman"/>
          <w:sz w:val="32"/>
          <w:szCs w:val="32"/>
        </w:rPr>
        <w:t>项目绩效自评表：</w:t>
      </w:r>
      <w:r>
        <w:rPr>
          <w:rFonts w:hint="eastAsia" w:ascii="仿宋_GB2312" w:hAnsi="Times New Roman" w:eastAsia="仿宋_GB2312" w:cs="Times New Roman"/>
          <w:sz w:val="32"/>
          <w:szCs w:val="32"/>
          <w:lang w:val="en-US" w:eastAsia="zh-CN"/>
        </w:rPr>
        <w:t>全年预算数为</w:t>
      </w:r>
      <w:r>
        <w:rPr>
          <w:rFonts w:hint="eastAsia" w:ascii="仿宋_GB2312" w:eastAsia="仿宋_GB2312" w:cs="Times New Roman"/>
          <w:sz w:val="32"/>
          <w:szCs w:val="32"/>
          <w:lang w:val="en-US" w:eastAsia="zh-CN"/>
        </w:rPr>
        <w:t>107.64</w:t>
      </w:r>
      <w:r>
        <w:rPr>
          <w:rFonts w:hint="eastAsia" w:ascii="仿宋_GB2312" w:hAnsi="Times New Roman" w:eastAsia="仿宋_GB2312" w:cs="Times New Roman"/>
          <w:sz w:val="32"/>
          <w:szCs w:val="32"/>
          <w:lang w:val="en-US" w:eastAsia="zh-CN"/>
        </w:rPr>
        <w:t>万元，</w:t>
      </w:r>
      <w:r>
        <w:rPr>
          <w:rFonts w:hint="eastAsia" w:ascii="仿宋_GB2312" w:eastAsia="仿宋_GB2312" w:cs="Times New Roman"/>
          <w:sz w:val="32"/>
          <w:szCs w:val="32"/>
          <w:lang w:val="en-US" w:eastAsia="zh-CN"/>
        </w:rPr>
        <w:t>执行数68.03万元。完成预算的63.20%。项目绩效目标完成情况：一是信用修复99家市场主体（含严重违法失信企业5家），处理3起假冒身份注册企业。对于严重违法失信专项行动，制定专项行动方案，深入开展排查，将2049家存在问题企业列入异常名录。及时落实“互联网+监管”工作任务，实现监管事项认领率、实施清单编制率两个100%。 二是2023年共处理解决12345、12315工单1929宗同比去年增长45.8%，处理率100%，处理今日头条、新浪微博、微信群、抖音等网络舆情9宗，有效维护了我县网络安全.</w:t>
      </w:r>
    </w:p>
    <w:p w14:paraId="3F977A77">
      <w:pPr>
        <w:spacing w:line="578"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cs="Times New Roman"/>
          <w:sz w:val="32"/>
          <w:szCs w:val="32"/>
          <w:lang w:val="en-US" w:eastAsia="zh-CN"/>
        </w:rPr>
        <w:t>市场监管</w:t>
      </w:r>
      <w:r>
        <w:rPr>
          <w:rFonts w:hint="eastAsia" w:ascii="仿宋_GB2312" w:hAnsi="Times New Roman" w:eastAsia="仿宋_GB2312" w:cs="Times New Roman"/>
          <w:sz w:val="32"/>
          <w:szCs w:val="32"/>
        </w:rPr>
        <w:t>项目绩效自评表：</w:t>
      </w:r>
      <w:r>
        <w:rPr>
          <w:rFonts w:hint="eastAsia" w:ascii="仿宋_GB2312" w:hAnsi="Times New Roman" w:eastAsia="仿宋_GB2312" w:cs="Times New Roman"/>
          <w:sz w:val="32"/>
          <w:szCs w:val="32"/>
          <w:lang w:val="en-US" w:eastAsia="zh-CN"/>
        </w:rPr>
        <w:t>全年预算数为</w:t>
      </w:r>
      <w:r>
        <w:rPr>
          <w:rFonts w:hint="eastAsia" w:ascii="仿宋_GB2312" w:eastAsia="仿宋_GB2312" w:cs="Times New Roman"/>
          <w:sz w:val="32"/>
          <w:szCs w:val="32"/>
          <w:lang w:val="en-US" w:eastAsia="zh-CN"/>
        </w:rPr>
        <w:t>78.84</w:t>
      </w:r>
      <w:r>
        <w:rPr>
          <w:rFonts w:hint="eastAsia" w:ascii="仿宋_GB2312" w:hAnsi="Times New Roman" w:eastAsia="仿宋_GB2312" w:cs="Times New Roman"/>
          <w:sz w:val="32"/>
          <w:szCs w:val="32"/>
          <w:lang w:val="en-US" w:eastAsia="zh-CN"/>
        </w:rPr>
        <w:t>万元，</w:t>
      </w:r>
      <w:r>
        <w:rPr>
          <w:rFonts w:hint="eastAsia" w:ascii="仿宋_GB2312" w:eastAsia="仿宋_GB2312" w:cs="Times New Roman"/>
          <w:sz w:val="32"/>
          <w:szCs w:val="32"/>
          <w:lang w:val="en-US" w:eastAsia="zh-CN"/>
        </w:rPr>
        <w:t>执行数71.01万元。完成预算的90.07%。项目绩效目标完成情况：一是劳务派遣服务费用均及时足额支付，保障了劳务派遣人员的切身利益。二是使监管队伍力量和机关后勤服务水平得到提升。</w:t>
      </w:r>
    </w:p>
    <w:p w14:paraId="2FA99FE1">
      <w:pPr>
        <w:spacing w:line="578"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（三）部门评价结果（预算部门填写，部门所属单位不需填写）。</w:t>
      </w:r>
    </w:p>
    <w:p w14:paraId="2B224C62">
      <w:pPr>
        <w:spacing w:line="578" w:lineRule="exact"/>
        <w:ind w:firstLine="640" w:firstLineChars="200"/>
        <w:rPr>
          <w:rFonts w:hint="eastAsia" w:ascii="楷体" w:hAnsi="楷体" w:eastAsia="楷体" w:cs="楷体"/>
          <w:bCs/>
          <w:sz w:val="32"/>
          <w:szCs w:val="32"/>
        </w:rPr>
      </w:pPr>
      <w:r>
        <w:rPr>
          <w:rFonts w:hint="eastAsia" w:ascii="仿宋_GB2312" w:hAnsi="仿宋_GB2312" w:eastAsia="仿宋_GB2312" w:cs="仿宋_GB2312"/>
          <w:color w:val="000000"/>
          <w:kern w:val="0"/>
          <w:sz w:val="32"/>
          <w:szCs w:val="32"/>
          <w:highlight w:val="none"/>
          <w:lang w:val="en-US" w:eastAsia="zh-CN" w:bidi="ar"/>
        </w:rPr>
        <w:t>部门评价结果已及时在临高县人民政府网上进行公开。</w:t>
      </w:r>
      <w:r>
        <w:rPr>
          <w:rFonts w:hint="eastAsia" w:ascii="楷体" w:hAnsi="楷体" w:eastAsia="楷体" w:cs="楷体"/>
          <w:bCs/>
          <w:sz w:val="32"/>
          <w:szCs w:val="32"/>
        </w:rPr>
        <w:t>（四）财政评价结果（如有）。</w:t>
      </w:r>
    </w:p>
    <w:p w14:paraId="5BD46E9E">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14:paraId="649E0C62">
      <w:pPr>
        <w:spacing w:line="57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14:paraId="2938715F">
      <w:pPr>
        <w:spacing w:line="578" w:lineRule="exact"/>
        <w:ind w:firstLine="640" w:firstLineChars="200"/>
        <w:rPr>
          <w:rFonts w:hint="eastAsia" w:ascii="楷体" w:hAnsi="楷体" w:eastAsia="楷体" w:cs="楷体"/>
          <w:bCs/>
          <w:sz w:val="32"/>
          <w:szCs w:val="32"/>
        </w:rPr>
      </w:pPr>
      <w:bookmarkStart w:id="95" w:name="_Toc15262_WPSOffice_Level2"/>
      <w:bookmarkStart w:id="96" w:name="_Toc32639_WPSOffice_Level2"/>
      <w:bookmarkStart w:id="97" w:name="_Toc23598_WPSOffice_Level2"/>
      <w:bookmarkStart w:id="98" w:name="_Toc15565_WPSOffice_Level2"/>
      <w:bookmarkStart w:id="99" w:name="_Toc5978_WPSOffice_Level2"/>
      <w:bookmarkStart w:id="100" w:name="_Toc18325_WPSOffice_Level2"/>
      <w:r>
        <w:rPr>
          <w:rFonts w:hint="eastAsia" w:ascii="楷体" w:hAnsi="楷体" w:eastAsia="楷体" w:cs="楷体"/>
          <w:bCs/>
          <w:sz w:val="32"/>
          <w:szCs w:val="32"/>
        </w:rPr>
        <w:t>（一）机关运行经费支出情况。</w:t>
      </w:r>
      <w:bookmarkEnd w:id="95"/>
      <w:bookmarkEnd w:id="96"/>
      <w:bookmarkEnd w:id="97"/>
      <w:bookmarkEnd w:id="98"/>
      <w:bookmarkEnd w:id="99"/>
      <w:bookmarkEnd w:id="100"/>
    </w:p>
    <w:p w14:paraId="289D2B8B">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w:t>
      </w:r>
      <w:r>
        <w:rPr>
          <w:rFonts w:hint="eastAsia" w:ascii="仿宋_GB2312" w:hAnsi="ˎ̥" w:eastAsia="仿宋_GB2312"/>
          <w:sz w:val="32"/>
          <w:szCs w:val="32"/>
          <w:lang w:val="en-US" w:eastAsia="zh-CN"/>
        </w:rPr>
        <w:t>临高县市场监督管理局</w:t>
      </w:r>
      <w:r>
        <w:rPr>
          <w:rFonts w:hint="eastAsia" w:ascii="仿宋_GB2312" w:hAnsi="ˎ̥" w:eastAsia="仿宋_GB2312"/>
          <w:sz w:val="32"/>
          <w:szCs w:val="32"/>
        </w:rPr>
        <w:t>机关运行经费306</w:t>
      </w:r>
      <w:r>
        <w:rPr>
          <w:rFonts w:hint="eastAsia" w:ascii="仿宋_GB2312" w:hAnsi="ˎ̥" w:eastAsia="仿宋_GB2312"/>
          <w:sz w:val="32"/>
          <w:szCs w:val="32"/>
          <w:lang w:val="en-US" w:eastAsia="zh-CN"/>
        </w:rPr>
        <w:t>.</w:t>
      </w:r>
      <w:r>
        <w:rPr>
          <w:rFonts w:hint="eastAsia" w:ascii="仿宋_GB2312" w:hAnsi="ˎ̥" w:eastAsia="仿宋_GB2312"/>
          <w:sz w:val="32"/>
          <w:szCs w:val="32"/>
        </w:rPr>
        <w:t>9</w:t>
      </w:r>
      <w:r>
        <w:rPr>
          <w:rFonts w:hint="eastAsia" w:ascii="仿宋_GB2312" w:hAnsi="ˎ̥" w:eastAsia="仿宋_GB2312"/>
          <w:sz w:val="32"/>
          <w:szCs w:val="32"/>
          <w:lang w:val="en-US" w:eastAsia="zh-CN"/>
        </w:rPr>
        <w:t>8</w:t>
      </w:r>
      <w:r>
        <w:rPr>
          <w:rFonts w:hint="eastAsia" w:ascii="仿宋_GB2312" w:hAnsi="ˎ̥" w:eastAsia="仿宋_GB2312"/>
          <w:sz w:val="32"/>
          <w:szCs w:val="32"/>
        </w:rPr>
        <w:t>万元（为部门决算中行政单位和参公事业单位财政拨款基本支出中公用经费支出之和，事业单位没有机关运行经费支出），</w:t>
      </w:r>
      <w:r>
        <w:rPr>
          <w:rFonts w:hint="eastAsia" w:ascii="仿宋_GB2312" w:hAnsi="ˎ̥" w:eastAsia="仿宋_GB2312"/>
          <w:sz w:val="32"/>
          <w:szCs w:val="32"/>
          <w:lang w:val="en-US" w:eastAsia="zh-CN"/>
        </w:rPr>
        <w:t>与</w:t>
      </w:r>
      <w:r>
        <w:rPr>
          <w:rFonts w:hint="eastAsia" w:ascii="仿宋_GB2312" w:hAnsi="ˎ̥" w:eastAsia="仿宋_GB2312"/>
          <w:sz w:val="32"/>
          <w:szCs w:val="32"/>
        </w:rPr>
        <w:t>年初预算</w:t>
      </w:r>
      <w:r>
        <w:rPr>
          <w:rFonts w:hint="eastAsia" w:ascii="仿宋_GB2312" w:hAnsi="ˎ̥" w:eastAsia="仿宋_GB2312"/>
          <w:sz w:val="32"/>
          <w:szCs w:val="32"/>
          <w:lang w:val="en-US" w:eastAsia="zh-CN"/>
        </w:rPr>
        <w:t>持平</w:t>
      </w:r>
      <w:r>
        <w:rPr>
          <w:rFonts w:hint="eastAsia" w:ascii="仿宋_GB2312" w:hAnsi="ˎ̥" w:eastAsia="仿宋_GB2312"/>
          <w:sz w:val="32"/>
          <w:szCs w:val="32"/>
        </w:rPr>
        <w:t>主要原因是</w:t>
      </w:r>
      <w:r>
        <w:rPr>
          <w:rFonts w:hint="eastAsia" w:ascii="仿宋_GB2312" w:hAnsi="ˎ̥" w:eastAsia="仿宋_GB2312"/>
          <w:sz w:val="32"/>
          <w:szCs w:val="32"/>
          <w:lang w:bidi="ar"/>
        </w:rPr>
        <w:t>落实过紧日子要求压减</w:t>
      </w:r>
      <w:r>
        <w:rPr>
          <w:rFonts w:hint="eastAsia" w:ascii="仿宋_GB2312" w:hAnsi="ˎ̥" w:eastAsia="仿宋_GB2312"/>
          <w:sz w:val="32"/>
          <w:szCs w:val="32"/>
          <w:lang w:val="en-US" w:eastAsia="zh-CN" w:bidi="ar"/>
        </w:rPr>
        <w:t>经费</w:t>
      </w:r>
      <w:r>
        <w:rPr>
          <w:rFonts w:hint="eastAsia" w:ascii="仿宋_GB2312" w:hAnsi="ˎ̥" w:eastAsia="仿宋_GB2312"/>
          <w:sz w:val="32"/>
          <w:szCs w:val="32"/>
          <w:lang w:bidi="ar"/>
        </w:rPr>
        <w:t>支出</w:t>
      </w:r>
      <w:r>
        <w:rPr>
          <w:rFonts w:hint="eastAsia" w:ascii="仿宋_GB2312" w:hAnsi="ˎ̥" w:eastAsia="仿宋_GB2312"/>
          <w:sz w:val="32"/>
          <w:szCs w:val="32"/>
          <w:lang w:eastAsia="zh-CN" w:bidi="ar"/>
        </w:rPr>
        <w:t>。</w:t>
      </w:r>
    </w:p>
    <w:p w14:paraId="34360B22">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机关运行经费预算数字可取自部门决算报表财决01-1表《财政拨款收入支出决算总表》，年初预算数-一般公共预算财政拨款-公用经费，注意部门汇总公开决算时，因事业单位没有机关运行经费支出，故部门汇总的机关运行经费预算数应为部门所属的各行政单位或参公单位的汇总数；决算数字可取自202</w:t>
      </w:r>
      <w:r>
        <w:rPr>
          <w:rFonts w:ascii="仿宋_GB2312" w:hAnsi="ˎ̥" w:eastAsia="仿宋_GB2312"/>
          <w:sz w:val="32"/>
          <w:szCs w:val="32"/>
        </w:rPr>
        <w:t>3</w:t>
      </w:r>
      <w:r>
        <w:rPr>
          <w:rFonts w:hint="eastAsia" w:ascii="仿宋_GB2312" w:hAnsi="ˎ̥" w:eastAsia="仿宋_GB2312"/>
          <w:sz w:val="32"/>
          <w:szCs w:val="32"/>
        </w:rPr>
        <w:t>年度部门决算报表F03表《机构运行信息表》“机关运行经费”栏。）</w:t>
      </w:r>
    </w:p>
    <w:p w14:paraId="59D5CD5B">
      <w:pPr>
        <w:spacing w:line="578" w:lineRule="exact"/>
        <w:ind w:firstLine="640" w:firstLineChars="200"/>
        <w:rPr>
          <w:rFonts w:hint="eastAsia" w:ascii="楷体" w:hAnsi="楷体" w:eastAsia="楷体" w:cs="楷体"/>
          <w:bCs/>
          <w:sz w:val="32"/>
          <w:szCs w:val="32"/>
        </w:rPr>
      </w:pPr>
      <w:bookmarkStart w:id="101" w:name="_Toc30383_WPSOffice_Level2"/>
      <w:bookmarkStart w:id="102" w:name="_Toc13084_WPSOffice_Level2"/>
      <w:bookmarkStart w:id="103" w:name="_Toc32689_WPSOffice_Level2"/>
      <w:bookmarkStart w:id="104" w:name="_Toc25333_WPSOffice_Level2"/>
      <w:bookmarkStart w:id="105" w:name="_Toc3131_WPSOffice_Level2"/>
      <w:bookmarkStart w:id="106" w:name="_Toc23966_WPSOffice_Level2"/>
      <w:r>
        <w:rPr>
          <w:rFonts w:hint="eastAsia" w:ascii="楷体" w:hAnsi="楷体" w:eastAsia="楷体" w:cs="楷体"/>
          <w:bCs/>
          <w:sz w:val="32"/>
          <w:szCs w:val="32"/>
        </w:rPr>
        <w:t>（二）政府采购支出情况。</w:t>
      </w:r>
      <w:bookmarkEnd w:id="101"/>
      <w:bookmarkEnd w:id="102"/>
      <w:bookmarkEnd w:id="103"/>
      <w:bookmarkEnd w:id="104"/>
      <w:bookmarkEnd w:id="105"/>
      <w:bookmarkEnd w:id="106"/>
    </w:p>
    <w:p w14:paraId="6E96FFE0">
      <w:pPr>
        <w:spacing w:line="578" w:lineRule="exact"/>
        <w:ind w:firstLine="640" w:firstLineChars="200"/>
        <w:jc w:val="left"/>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w:t>
      </w:r>
      <w:r>
        <w:rPr>
          <w:rFonts w:hint="eastAsia" w:ascii="仿宋_GB2312" w:hAnsi="ˎ̥" w:eastAsia="仿宋_GB2312"/>
          <w:sz w:val="32"/>
          <w:szCs w:val="32"/>
          <w:lang w:val="en-US" w:eastAsia="zh-CN"/>
        </w:rPr>
        <w:t>临高县市场监督管理局</w:t>
      </w:r>
      <w:r>
        <w:rPr>
          <w:rFonts w:hint="eastAsia" w:ascii="仿宋_GB2312" w:hAnsi="ˎ̥" w:eastAsia="仿宋_GB2312"/>
          <w:sz w:val="32"/>
          <w:szCs w:val="32"/>
        </w:rPr>
        <w:t>政府采购支出总额</w:t>
      </w:r>
      <w:r>
        <w:rPr>
          <w:rFonts w:hint="eastAsia" w:ascii="仿宋_GB2312" w:hAnsi="ˎ̥" w:eastAsia="仿宋_GB2312"/>
          <w:sz w:val="32"/>
          <w:szCs w:val="32"/>
          <w:lang w:val="en-US" w:eastAsia="zh-CN"/>
        </w:rPr>
        <w:t>0</w:t>
      </w:r>
      <w:r>
        <w:rPr>
          <w:rFonts w:hint="eastAsia" w:ascii="仿宋_GB2312" w:hAnsi="ˎ̥" w:eastAsia="仿宋_GB2312"/>
          <w:sz w:val="32"/>
          <w:szCs w:val="32"/>
        </w:rPr>
        <w:t>万元，其中：政府采购货物支出</w:t>
      </w:r>
      <w:r>
        <w:rPr>
          <w:rFonts w:hint="eastAsia" w:ascii="仿宋_GB2312" w:hAnsi="ˎ̥" w:eastAsia="仿宋_GB2312"/>
          <w:sz w:val="32"/>
          <w:szCs w:val="32"/>
          <w:lang w:val="en-US" w:eastAsia="zh-CN"/>
        </w:rPr>
        <w:t>0</w:t>
      </w:r>
      <w:r>
        <w:rPr>
          <w:rFonts w:hint="eastAsia" w:ascii="仿宋_GB2312" w:hAnsi="ˎ̥" w:eastAsia="仿宋_GB2312"/>
          <w:sz w:val="32"/>
          <w:szCs w:val="32"/>
        </w:rPr>
        <w:t>元、政府采购工程支出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万元、政府采购服务支出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万元。授予中小企业合同金额</w:t>
      </w:r>
      <w:r>
        <w:rPr>
          <w:rFonts w:hint="eastAsia" w:ascii="仿宋_GB2312" w:hAnsi="ˎ̥" w:eastAsia="仿宋_GB2312"/>
          <w:sz w:val="32"/>
          <w:szCs w:val="32"/>
          <w:lang w:val="en-US" w:eastAsia="zh-CN"/>
        </w:rPr>
        <w:t>0</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0</w:t>
      </w:r>
      <w:r>
        <w:rPr>
          <w:rFonts w:hint="eastAsia" w:ascii="仿宋_GB2312" w:hAnsi="ˎ̥" w:eastAsia="仿宋_GB2312"/>
          <w:sz w:val="32"/>
          <w:szCs w:val="32"/>
        </w:rPr>
        <w:t>%，其中：授予小微企业合同金额</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仿宋_GB2312" w:eastAsia="仿宋_GB2312" w:cs="仿宋_GB2312"/>
          <w:kern w:val="0"/>
          <w:sz w:val="32"/>
          <w:szCs w:val="32"/>
          <w:lang w:bidi="ar"/>
        </w:rPr>
        <w:t>授予中小企业合同金额</w:t>
      </w:r>
      <w:r>
        <w:rPr>
          <w:rFonts w:hint="eastAsia" w:ascii="仿宋_GB2312" w:hAnsi="仿宋_GB2312" w:eastAsia="仿宋_GB2312" w:cs="仿宋_GB2312"/>
          <w:sz w:val="32"/>
          <w:szCs w:val="32"/>
        </w:rPr>
        <w:t>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6C679625">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上述政府采购支出相关数字取自202</w:t>
      </w:r>
      <w:r>
        <w:rPr>
          <w:rFonts w:ascii="仿宋_GB2312" w:hAnsi="ˎ̥" w:eastAsia="仿宋_GB2312"/>
          <w:sz w:val="32"/>
          <w:szCs w:val="32"/>
        </w:rPr>
        <w:t>3</w:t>
      </w:r>
      <w:r>
        <w:rPr>
          <w:rFonts w:hint="eastAsia" w:ascii="仿宋_GB2312" w:hAnsi="ˎ̥" w:eastAsia="仿宋_GB2312"/>
          <w:sz w:val="32"/>
          <w:szCs w:val="32"/>
        </w:rPr>
        <w:t>年度部门决算报表F03表《机构运行信息表》，授予中小企业和小微企业合同金额由各部门查阅本部门相关资料填写。）</w:t>
      </w:r>
    </w:p>
    <w:p w14:paraId="209E550A">
      <w:pPr>
        <w:spacing w:line="578" w:lineRule="exact"/>
        <w:ind w:firstLine="640" w:firstLineChars="200"/>
        <w:rPr>
          <w:rFonts w:hint="eastAsia" w:ascii="楷体" w:hAnsi="楷体" w:eastAsia="楷体" w:cs="楷体"/>
          <w:bCs/>
          <w:sz w:val="32"/>
          <w:szCs w:val="32"/>
        </w:rPr>
      </w:pPr>
      <w:bookmarkStart w:id="107" w:name="_Toc15129_WPSOffice_Level2"/>
      <w:bookmarkStart w:id="108" w:name="_Toc527_WPSOffice_Level2"/>
      <w:bookmarkStart w:id="109" w:name="_Toc10902_WPSOffice_Level2"/>
      <w:bookmarkStart w:id="110" w:name="_Toc29584_WPSOffice_Level2"/>
      <w:bookmarkStart w:id="111" w:name="_Toc19989_WPSOffice_Level2"/>
      <w:bookmarkStart w:id="112" w:name="_Toc6016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14:paraId="633880B5">
      <w:pPr>
        <w:spacing w:line="578" w:lineRule="exact"/>
        <w:ind w:firstLine="640" w:firstLineChars="200"/>
        <w:rPr>
          <w:rFonts w:hint="eastAsia" w:ascii="仿宋_GB2312" w:hAnsi="ˎ̥" w:eastAsia="仿宋_GB2312"/>
          <w:sz w:val="32"/>
          <w:szCs w:val="32"/>
        </w:rPr>
      </w:pPr>
      <w:r>
        <w:rPr>
          <w:rFonts w:hint="eastAsia" w:ascii="仿宋_GB2312" w:hAnsi="ˎ̥" w:eastAsia="仿宋_GB2312"/>
          <w:bCs/>
          <w:sz w:val="32"/>
          <w:szCs w:val="32"/>
        </w:rPr>
        <w:t>截至202</w:t>
      </w:r>
      <w:r>
        <w:rPr>
          <w:rFonts w:ascii="仿宋_GB2312" w:hAnsi="ˎ̥" w:eastAsia="仿宋_GB2312"/>
          <w:bCs/>
          <w:sz w:val="32"/>
          <w:szCs w:val="32"/>
        </w:rPr>
        <w:t>3</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eastAsia" w:ascii="仿宋_GB2312" w:hAnsi="ˎ̥" w:eastAsia="仿宋_GB2312"/>
          <w:sz w:val="32"/>
          <w:szCs w:val="32"/>
          <w:lang w:val="en-US" w:eastAsia="zh-CN"/>
        </w:rPr>
        <w:t>11010</w:t>
      </w:r>
      <w:r>
        <w:rPr>
          <w:rFonts w:hint="eastAsia" w:ascii="仿宋_GB2312" w:hAnsi="ˎ̥" w:eastAsia="仿宋_GB2312"/>
          <w:sz w:val="32"/>
          <w:szCs w:val="32"/>
        </w:rPr>
        <w:t>平方米，其中：办公用房</w:t>
      </w:r>
      <w:r>
        <w:rPr>
          <w:rFonts w:hint="eastAsia" w:ascii="仿宋_GB2312" w:hAnsi="ˎ̥" w:eastAsia="仿宋_GB2312"/>
          <w:sz w:val="32"/>
          <w:szCs w:val="32"/>
          <w:lang w:val="en-US" w:eastAsia="zh-CN"/>
        </w:rPr>
        <w:t>11010</w:t>
      </w:r>
      <w:r>
        <w:rPr>
          <w:rFonts w:hint="eastAsia" w:ascii="仿宋_GB2312" w:hAnsi="ˎ̥" w:eastAsia="仿宋_GB2312"/>
          <w:sz w:val="32"/>
          <w:szCs w:val="32"/>
        </w:rPr>
        <w:t>平方米，业务用房</w:t>
      </w:r>
      <w:r>
        <w:rPr>
          <w:rFonts w:hint="eastAsia" w:ascii="仿宋_GB2312" w:hAnsi="ˎ̥" w:eastAsia="仿宋_GB2312"/>
          <w:sz w:val="32"/>
          <w:szCs w:val="32"/>
          <w:lang w:val="en-US" w:eastAsia="zh-CN"/>
        </w:rPr>
        <w:t>0</w:t>
      </w:r>
      <w:r>
        <w:rPr>
          <w:rFonts w:hint="eastAsia" w:ascii="仿宋_GB2312" w:hAnsi="ˎ̥" w:eastAsia="仿宋_GB2312"/>
          <w:sz w:val="32"/>
          <w:szCs w:val="32"/>
        </w:rPr>
        <w:t>平方米，其他（不含构筑物）</w:t>
      </w:r>
      <w:r>
        <w:rPr>
          <w:rFonts w:hint="eastAsia" w:ascii="仿宋_GB2312" w:hAnsi="ˎ̥" w:eastAsia="仿宋_GB2312"/>
          <w:sz w:val="32"/>
          <w:szCs w:val="32"/>
          <w:lang w:val="en-US" w:eastAsia="zh-CN"/>
        </w:rPr>
        <w:t>0</w:t>
      </w:r>
      <w:r>
        <w:rPr>
          <w:rFonts w:hint="eastAsia" w:ascii="仿宋_GB2312" w:hAnsi="ˎ̥" w:eastAsia="仿宋_GB2312"/>
          <w:sz w:val="32"/>
          <w:szCs w:val="32"/>
        </w:rPr>
        <w:t>平方米。</w:t>
      </w:r>
    </w:p>
    <w:p w14:paraId="025BA33B">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本部门共有车辆</w:t>
      </w:r>
      <w:r>
        <w:rPr>
          <w:rFonts w:hint="eastAsia" w:ascii="仿宋_GB2312" w:hAnsi="ˎ̥" w:eastAsia="仿宋_GB2312"/>
          <w:sz w:val="32"/>
          <w:szCs w:val="32"/>
          <w:lang w:val="en-US" w:eastAsia="zh-CN"/>
        </w:rPr>
        <w:t>19</w:t>
      </w:r>
      <w:r>
        <w:rPr>
          <w:rFonts w:hint="eastAsia" w:ascii="仿宋_GB2312" w:hAnsi="ˎ̥" w:eastAsia="仿宋_GB2312"/>
          <w:sz w:val="32"/>
          <w:szCs w:val="32"/>
        </w:rPr>
        <w:t>辆，其中，副部（省）级及以上领导用车</w:t>
      </w:r>
      <w:r>
        <w:rPr>
          <w:rFonts w:hint="eastAsia" w:ascii="仿宋_GB2312" w:hAnsi="ˎ̥" w:eastAsia="仿宋_GB2312"/>
          <w:sz w:val="32"/>
          <w:szCs w:val="32"/>
          <w:lang w:val="en-US" w:eastAsia="zh-CN"/>
        </w:rPr>
        <w:t>0</w:t>
      </w:r>
      <w:r>
        <w:rPr>
          <w:rFonts w:hint="eastAsia" w:ascii="仿宋_GB2312" w:hAnsi="ˎ̥" w:eastAsia="仿宋_GB2312"/>
          <w:sz w:val="32"/>
          <w:szCs w:val="32"/>
        </w:rPr>
        <w:t>辆、主要负责人用车</w:t>
      </w:r>
      <w:r>
        <w:rPr>
          <w:rFonts w:hint="eastAsia" w:ascii="仿宋_GB2312" w:hAnsi="ˎ̥" w:eastAsia="仿宋_GB2312"/>
          <w:sz w:val="32"/>
          <w:szCs w:val="32"/>
          <w:lang w:val="en-US" w:eastAsia="zh-CN"/>
        </w:rPr>
        <w:t>1</w:t>
      </w:r>
      <w:r>
        <w:rPr>
          <w:rFonts w:hint="eastAsia" w:ascii="仿宋_GB2312" w:hAnsi="ˎ̥" w:eastAsia="仿宋_GB2312"/>
          <w:sz w:val="32"/>
          <w:szCs w:val="32"/>
        </w:rPr>
        <w:t>辆、机要通信用车</w:t>
      </w:r>
      <w:r>
        <w:rPr>
          <w:rFonts w:hint="eastAsia" w:ascii="仿宋_GB2312" w:hAnsi="ˎ̥" w:eastAsia="仿宋_GB2312"/>
          <w:sz w:val="32"/>
          <w:szCs w:val="32"/>
          <w:lang w:val="en-US" w:eastAsia="zh-CN"/>
        </w:rPr>
        <w:t>0</w:t>
      </w:r>
      <w:r>
        <w:rPr>
          <w:rFonts w:hint="eastAsia" w:ascii="仿宋_GB2312" w:hAnsi="ˎ̥" w:eastAsia="仿宋_GB2312"/>
          <w:sz w:val="32"/>
          <w:szCs w:val="32"/>
        </w:rPr>
        <w:t>辆、应急保障用车</w:t>
      </w:r>
      <w:r>
        <w:rPr>
          <w:rFonts w:hint="eastAsia" w:ascii="仿宋_GB2312" w:hAnsi="ˎ̥" w:eastAsia="仿宋_GB2312"/>
          <w:sz w:val="32"/>
          <w:szCs w:val="32"/>
          <w:lang w:val="en-US" w:eastAsia="zh-CN"/>
        </w:rPr>
        <w:t>1</w:t>
      </w:r>
      <w:r>
        <w:rPr>
          <w:rFonts w:hint="eastAsia" w:ascii="仿宋_GB2312" w:hAnsi="ˎ̥" w:eastAsia="仿宋_GB2312"/>
          <w:sz w:val="32"/>
          <w:szCs w:val="32"/>
        </w:rPr>
        <w:t>辆、执法执勤用车</w:t>
      </w:r>
      <w:r>
        <w:rPr>
          <w:rFonts w:hint="eastAsia" w:ascii="仿宋_GB2312" w:hAnsi="ˎ̥" w:eastAsia="仿宋_GB2312"/>
          <w:sz w:val="32"/>
          <w:szCs w:val="32"/>
          <w:lang w:val="en-US" w:eastAsia="zh-CN"/>
        </w:rPr>
        <w:t>13</w:t>
      </w:r>
      <w:r>
        <w:rPr>
          <w:rFonts w:hint="eastAsia" w:ascii="仿宋_GB2312" w:hAnsi="ˎ̥" w:eastAsia="仿宋_GB2312"/>
          <w:sz w:val="32"/>
          <w:szCs w:val="32"/>
        </w:rPr>
        <w:t>辆、特种专业技术用车</w:t>
      </w:r>
      <w:r>
        <w:rPr>
          <w:rFonts w:hint="eastAsia" w:ascii="仿宋_GB2312" w:hAnsi="ˎ̥" w:eastAsia="仿宋_GB2312"/>
          <w:sz w:val="32"/>
          <w:szCs w:val="32"/>
          <w:lang w:val="en-US" w:eastAsia="zh-CN"/>
        </w:rPr>
        <w:t>2</w:t>
      </w:r>
      <w:r>
        <w:rPr>
          <w:rFonts w:hint="eastAsia" w:ascii="仿宋_GB2312" w:hAnsi="ˎ̥" w:eastAsia="仿宋_GB2312"/>
          <w:sz w:val="32"/>
          <w:szCs w:val="32"/>
        </w:rPr>
        <w:t>辆、离退休干部服务用车</w:t>
      </w:r>
      <w:r>
        <w:rPr>
          <w:rFonts w:hint="eastAsia" w:ascii="仿宋_GB2312" w:hAnsi="ˎ̥" w:eastAsia="仿宋_GB2312"/>
          <w:sz w:val="32"/>
          <w:szCs w:val="32"/>
          <w:lang w:val="en-US" w:eastAsia="zh-CN"/>
        </w:rPr>
        <w:t>0</w:t>
      </w:r>
      <w:r>
        <w:rPr>
          <w:rFonts w:hint="eastAsia" w:ascii="仿宋_GB2312" w:hAnsi="ˎ̥" w:eastAsia="仿宋_GB2312"/>
          <w:sz w:val="32"/>
          <w:szCs w:val="32"/>
        </w:rPr>
        <w:t>辆、其他用车</w:t>
      </w:r>
      <w:r>
        <w:rPr>
          <w:rFonts w:hint="eastAsia" w:ascii="仿宋_GB2312" w:hAnsi="ˎ̥" w:eastAsia="仿宋_GB2312"/>
          <w:sz w:val="32"/>
          <w:szCs w:val="32"/>
          <w:lang w:val="en-US" w:eastAsia="zh-CN"/>
        </w:rPr>
        <w:t>0</w:t>
      </w:r>
      <w:r>
        <w:rPr>
          <w:rFonts w:hint="eastAsia" w:ascii="仿宋_GB2312" w:hAnsi="ˎ̥" w:eastAsia="仿宋_GB2312"/>
          <w:sz w:val="32"/>
          <w:szCs w:val="32"/>
        </w:rPr>
        <w:t>辆。单价100万元（含）以上设备（不含车辆）</w:t>
      </w:r>
      <w:r>
        <w:rPr>
          <w:rFonts w:hint="eastAsia" w:ascii="仿宋_GB2312" w:hAnsi="ˎ̥" w:eastAsia="仿宋_GB2312"/>
          <w:sz w:val="32"/>
          <w:szCs w:val="32"/>
          <w:lang w:val="en-US" w:eastAsia="zh-CN"/>
        </w:rPr>
        <w:t>0</w:t>
      </w:r>
      <w:r>
        <w:rPr>
          <w:rFonts w:hint="eastAsia" w:ascii="仿宋_GB2312" w:hAnsi="ˎ̥" w:eastAsia="仿宋_GB2312"/>
          <w:sz w:val="32"/>
          <w:szCs w:val="32"/>
        </w:rPr>
        <w:t>台（套）。</w:t>
      </w:r>
    </w:p>
    <w:p w14:paraId="1E1E8BEC">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年末在建工程</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14:paraId="5D91D0DB">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上述国有资产占用情况相关数字取自202</w:t>
      </w:r>
      <w:r>
        <w:rPr>
          <w:rFonts w:ascii="仿宋_GB2312" w:hAnsi="ˎ̥" w:eastAsia="仿宋_GB2312"/>
          <w:sz w:val="32"/>
          <w:szCs w:val="32"/>
        </w:rPr>
        <w:t>3</w:t>
      </w:r>
      <w:r>
        <w:rPr>
          <w:rFonts w:hint="eastAsia" w:ascii="仿宋_GB2312" w:hAnsi="ˎ̥" w:eastAsia="仿宋_GB2312"/>
          <w:sz w:val="32"/>
          <w:szCs w:val="32"/>
        </w:rPr>
        <w:t>年度部门决算F01表《预算支出相关信息表》、F03表《机构运行信息表》。）</w:t>
      </w:r>
    </w:p>
    <w:p w14:paraId="5C94F463">
      <w:pPr>
        <w:spacing w:line="578" w:lineRule="exact"/>
        <w:jc w:val="center"/>
        <w:rPr>
          <w:rFonts w:hint="eastAsia" w:ascii="黑体" w:hAnsi="ˎ̥" w:eastAsia="黑体"/>
          <w:sz w:val="32"/>
          <w:szCs w:val="32"/>
        </w:rPr>
      </w:pPr>
      <w:bookmarkStart w:id="113" w:name="_Toc4398_WPSOffice_Level1"/>
      <w:bookmarkStart w:id="114" w:name="_Toc15425_WPSOffice_Level1"/>
      <w:bookmarkStart w:id="115" w:name="_Toc8874_WPSOffice_Level1"/>
      <w:bookmarkStart w:id="116" w:name="_Toc11039_WPSOffice_Level1"/>
      <w:bookmarkStart w:id="117" w:name="_Toc8808_WPSOffice_Level1"/>
      <w:bookmarkStart w:id="118" w:name="_Toc17580_WPSOffice_Level1"/>
    </w:p>
    <w:p w14:paraId="39F77A50">
      <w:pPr>
        <w:spacing w:line="578" w:lineRule="exact"/>
        <w:jc w:val="center"/>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14:paraId="0616C264">
      <w:pPr>
        <w:spacing w:line="578" w:lineRule="exact"/>
        <w:jc w:val="center"/>
        <w:rPr>
          <w:rFonts w:hint="eastAsia" w:ascii="黑体" w:hAnsi="ˎ̥" w:eastAsia="黑体"/>
          <w:sz w:val="32"/>
          <w:szCs w:val="32"/>
        </w:rPr>
      </w:pPr>
    </w:p>
    <w:p w14:paraId="468C5D86">
      <w:pPr>
        <w:numPr>
          <w:ilvl w:val="0"/>
          <w:numId w:val="3"/>
        </w:num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791ACC99">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4BE59A2D">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34022946">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316938D8">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3FB79B7F">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1287473C">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099CED5C">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6760AC33">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2098D7A1">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1B4BCA68">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6D2925FA">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3328B345">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79E0A606">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7ECFFEB8">
      <w:pPr>
        <w:spacing w:line="578" w:lineRule="exact"/>
        <w:ind w:firstLine="645"/>
        <w:rPr>
          <w:rFonts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240FCB53">
      <w:pPr>
        <w:spacing w:line="578" w:lineRule="exact"/>
        <w:ind w:firstLine="645"/>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14:paraId="203F0F90">
      <w:pPr>
        <w:spacing w:line="578" w:lineRule="exact"/>
        <w:ind w:firstLine="645"/>
        <w:rPr>
          <w:rFonts w:ascii="仿宋_GB2312" w:hAnsi="ˎ̥" w:eastAsia="仿宋_GB2312"/>
          <w:sz w:val="32"/>
          <w:szCs w:val="32"/>
        </w:rPr>
      </w:pPr>
      <w:r>
        <w:rPr>
          <w:rFonts w:hint="eastAsia" w:ascii="仿宋_GB2312" w:hAnsi="ˎ̥" w:eastAsia="仿宋_GB2312"/>
          <w:sz w:val="32"/>
          <w:szCs w:val="32"/>
        </w:rPr>
        <w:t>XXXX（类）XXXX（款）XXXX（项），</w:t>
      </w:r>
      <w:r>
        <w:rPr>
          <w:rFonts w:ascii="仿宋_GB2312" w:hAnsi="ˎ̥" w:eastAsia="仿宋_GB2312"/>
          <w:sz w:val="32"/>
          <w:szCs w:val="32"/>
        </w:rPr>
        <w:t>……</w:t>
      </w:r>
      <w:r>
        <w:rPr>
          <w:rFonts w:hint="eastAsia" w:ascii="仿宋_GB2312" w:hAnsi="ˎ̥" w:eastAsia="仿宋_GB2312"/>
          <w:sz w:val="32"/>
          <w:szCs w:val="32"/>
        </w:rPr>
        <w:t>；</w:t>
      </w:r>
    </w:p>
    <w:p w14:paraId="3220D61B">
      <w:pPr>
        <w:spacing w:line="578" w:lineRule="exact"/>
        <w:ind w:firstLine="645"/>
        <w:rPr>
          <w:rFonts w:hint="eastAsia" w:ascii="仿宋_GB2312" w:hAnsi="ˎ̥" w:eastAsia="仿宋_GB2312"/>
          <w:sz w:val="32"/>
          <w:szCs w:val="32"/>
        </w:rPr>
      </w:pPr>
      <w:r>
        <w:rPr>
          <w:rFonts w:hint="eastAsia" w:ascii="仿宋_GB2312" w:hAnsi="ˎ̥" w:eastAsia="仿宋_GB2312"/>
          <w:sz w:val="32"/>
          <w:szCs w:val="32"/>
        </w:rPr>
        <w:t>XXXX（类）XXXX（款）XXXX（项），</w:t>
      </w:r>
      <w:r>
        <w:rPr>
          <w:rFonts w:ascii="仿宋_GB2312" w:hAnsi="ˎ̥" w:eastAsia="仿宋_GB2312"/>
          <w:sz w:val="32"/>
          <w:szCs w:val="32"/>
        </w:rPr>
        <w:t>……</w:t>
      </w:r>
    </w:p>
    <w:p w14:paraId="6D147ABE">
      <w:pPr>
        <w:spacing w:line="578" w:lineRule="exact"/>
        <w:ind w:firstLine="645"/>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支出功能分类的名词解释，各部门（单位）根据实际支出情况填列，可参阅财政部印发的《202</w:t>
      </w:r>
      <w:r>
        <w:rPr>
          <w:rFonts w:ascii="仿宋_GB2312" w:hAnsi="ˎ̥" w:eastAsia="仿宋_GB2312"/>
          <w:sz w:val="32"/>
          <w:szCs w:val="32"/>
        </w:rPr>
        <w:t>3</w:t>
      </w:r>
      <w:r>
        <w:rPr>
          <w:rFonts w:hint="eastAsia" w:ascii="仿宋_GB2312" w:hAnsi="ˎ̥" w:eastAsia="仿宋_GB2312"/>
          <w:sz w:val="32"/>
          <w:szCs w:val="32"/>
        </w:rPr>
        <w:t>年政府收支分类科目》）</w:t>
      </w:r>
    </w:p>
    <w:p w14:paraId="53C0DA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6347F"/>
    <w:multiLevelType w:val="singleLevel"/>
    <w:tmpl w:val="9CC6347F"/>
    <w:lvl w:ilvl="0" w:tentative="0">
      <w:start w:val="1"/>
      <w:numFmt w:val="chineseCounting"/>
      <w:suff w:val="nothing"/>
      <w:lvlText w:val="%1、"/>
      <w:lvlJc w:val="left"/>
      <w:rPr>
        <w:rFonts w:hint="eastAsia"/>
      </w:rPr>
    </w:lvl>
  </w:abstractNum>
  <w:abstractNum w:abstractNumId="1">
    <w:nsid w:val="AFFC2DCC"/>
    <w:multiLevelType w:val="singleLevel"/>
    <w:tmpl w:val="AFFC2DCC"/>
    <w:lvl w:ilvl="0" w:tentative="0">
      <w:start w:val="1"/>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YjgwZWZmN2NmMjY2MTIwZmQxM2I0NzJhYzU5ODAifQ=="/>
  </w:docVars>
  <w:rsids>
    <w:rsidRoot w:val="33B1301F"/>
    <w:rsid w:val="33B1301F"/>
    <w:rsid w:val="46C04458"/>
    <w:rsid w:val="66B24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1621</Words>
  <Characters>1633</Characters>
  <Lines>0</Lines>
  <Paragraphs>0</Paragraphs>
  <TotalTime>1777</TotalTime>
  <ScaleCrop>false</ScaleCrop>
  <LinksUpToDate>false</LinksUpToDate>
  <CharactersWithSpaces>1661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2024-10-18T08:24:00Z</dcterms:created>
  <dc:creator>Lenovo</dc:creator>
  <cp:lastModifiedBy>Lenovo</cp:lastModifiedBy>
  <dcterms:modified xsi:type="dcterms:W3CDTF">2024-11-06T02:01:47Z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43BAC5823D304A60AC8FD54DA8BC6088_11</vt:lpwstr>
  </property>
</Properties>
</file>