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4184C">
      <w:pPr>
        <w:rPr>
          <w:sz w:val="84"/>
          <w:szCs w:val="84"/>
          <w:u w:val="single"/>
        </w:rPr>
      </w:pPr>
    </w:p>
    <w:p w14:paraId="79065E1F">
      <w:pPr>
        <w:rPr>
          <w:sz w:val="84"/>
          <w:szCs w:val="84"/>
          <w:u w:val="single"/>
        </w:rPr>
      </w:pPr>
    </w:p>
    <w:p w14:paraId="0DF6A554">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临高县市场监督管理局</w:t>
      </w:r>
      <w:r>
        <w:rPr>
          <w:rFonts w:hint="eastAsia" w:ascii="方正小标宋简体" w:hAnsi="方正小标宋简体" w:eastAsia="方正小标宋简体" w:cs="方正小标宋简体"/>
          <w:sz w:val="52"/>
          <w:szCs w:val="52"/>
        </w:rPr>
        <w:t>预算</w:t>
      </w:r>
    </w:p>
    <w:p w14:paraId="5330F21B">
      <w:pPr>
        <w:ind w:firstLine="1680"/>
        <w:jc w:val="center"/>
        <w:rPr>
          <w:sz w:val="84"/>
          <w:szCs w:val="84"/>
        </w:rPr>
      </w:pPr>
    </w:p>
    <w:p w14:paraId="195896F6">
      <w:pPr>
        <w:ind w:firstLine="1680"/>
        <w:jc w:val="center"/>
        <w:rPr>
          <w:sz w:val="84"/>
          <w:szCs w:val="84"/>
        </w:rPr>
      </w:pPr>
    </w:p>
    <w:p w14:paraId="20B53D07">
      <w:pPr>
        <w:ind w:firstLine="1680"/>
        <w:jc w:val="center"/>
        <w:rPr>
          <w:sz w:val="84"/>
          <w:szCs w:val="84"/>
        </w:rPr>
      </w:pPr>
    </w:p>
    <w:p w14:paraId="1EA72F25">
      <w:pPr>
        <w:ind w:firstLine="1680"/>
        <w:jc w:val="center"/>
        <w:rPr>
          <w:sz w:val="84"/>
          <w:szCs w:val="84"/>
        </w:rPr>
      </w:pPr>
    </w:p>
    <w:p w14:paraId="3B1F83E5">
      <w:pPr>
        <w:ind w:firstLine="1680"/>
        <w:jc w:val="center"/>
        <w:rPr>
          <w:sz w:val="84"/>
          <w:szCs w:val="84"/>
        </w:rPr>
      </w:pPr>
    </w:p>
    <w:p w14:paraId="339237D2">
      <w:pPr>
        <w:rPr>
          <w:sz w:val="84"/>
          <w:szCs w:val="84"/>
        </w:rPr>
      </w:pPr>
    </w:p>
    <w:p w14:paraId="14EC62B8">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7031A7B0">
      <w:pPr>
        <w:spacing w:line="578" w:lineRule="exact"/>
        <w:jc w:val="center"/>
        <w:rPr>
          <w:rFonts w:hint="eastAsia" w:ascii="黑体" w:hAnsi="黑体" w:eastAsia="黑体"/>
          <w:sz w:val="52"/>
          <w:szCs w:val="52"/>
        </w:rPr>
      </w:pPr>
    </w:p>
    <w:p w14:paraId="374AD90C">
      <w:pPr>
        <w:spacing w:line="578" w:lineRule="exact"/>
        <w:jc w:val="center"/>
        <w:rPr>
          <w:rFonts w:hint="eastAsia" w:ascii="黑体" w:hAnsi="黑体" w:eastAsia="黑体"/>
          <w:sz w:val="52"/>
          <w:szCs w:val="52"/>
        </w:rPr>
      </w:pPr>
    </w:p>
    <w:p w14:paraId="26D59C26">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01551C0">
      <w:pPr>
        <w:spacing w:line="578" w:lineRule="exact"/>
        <w:jc w:val="center"/>
        <w:rPr>
          <w:rFonts w:hint="eastAsia" w:ascii="黑体" w:hAnsi="黑体" w:eastAsia="黑体"/>
          <w:sz w:val="52"/>
          <w:szCs w:val="52"/>
        </w:rPr>
      </w:pPr>
    </w:p>
    <w:p w14:paraId="67E1E8D1">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临高县市场监督管理局</w:t>
      </w:r>
      <w:r>
        <w:rPr>
          <w:rFonts w:hint="eastAsia" w:ascii="黑体" w:hAnsi="黑体" w:eastAsia="黑体"/>
          <w:sz w:val="32"/>
          <w:szCs w:val="32"/>
        </w:rPr>
        <w:t>概况</w:t>
      </w:r>
    </w:p>
    <w:p w14:paraId="3DE06943">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73BBFC0B">
      <w:pPr>
        <w:widowControl/>
        <w:ind w:firstLine="620" w:firstLineChars="200"/>
        <w:jc w:val="left"/>
      </w:pPr>
      <w:r>
        <w:rPr>
          <w:rFonts w:hint="eastAsia" w:ascii="仿宋_GB2312" w:hAnsi="宋体" w:eastAsia="仿宋_GB2312" w:cs="仿宋_GB2312"/>
          <w:color w:val="000000"/>
          <w:kern w:val="0"/>
          <w:sz w:val="31"/>
          <w:szCs w:val="31"/>
        </w:rPr>
        <w:t>（一）贯彻落实党中央和国家有关市场监督管理工作的方针政策、法律法规，执行县委县政府决策部署和中国（海南）自由贸易试验区、中国特色自由贸易港市场监督管理工作方面的政策措施。</w:t>
      </w:r>
    </w:p>
    <w:p w14:paraId="0AAFF878">
      <w:pPr>
        <w:widowControl/>
        <w:ind w:firstLine="620" w:firstLineChars="200"/>
        <w:jc w:val="left"/>
      </w:pPr>
      <w:r>
        <w:rPr>
          <w:rFonts w:hint="eastAsia" w:ascii="仿宋_GB2312" w:hAnsi="宋体" w:eastAsia="仿宋_GB2312" w:cs="仿宋_GB2312"/>
          <w:color w:val="000000"/>
          <w:kern w:val="0"/>
          <w:sz w:val="31"/>
          <w:szCs w:val="31"/>
        </w:rPr>
        <w:t>（二）贯彻执行市场监督管理工作政策规定、地方性法规、规章、发展战略，研究推进市场监督管理改革，研究提出推进中国（海南）自由贸易试验区、中国特色自由贸易港建设市场监督管理工作方面的意见和建议。</w:t>
      </w:r>
    </w:p>
    <w:p w14:paraId="3368AB97">
      <w:pPr>
        <w:widowControl/>
        <w:ind w:firstLine="620" w:firstLineChars="200"/>
        <w:jc w:val="left"/>
      </w:pPr>
      <w:r>
        <w:rPr>
          <w:rFonts w:hint="eastAsia" w:ascii="仿宋_GB2312" w:hAnsi="宋体" w:eastAsia="仿宋_GB2312" w:cs="仿宋_GB2312"/>
          <w:color w:val="000000"/>
          <w:kern w:val="0"/>
          <w:sz w:val="31"/>
          <w:szCs w:val="31"/>
        </w:rPr>
        <w:t>（三）负责市场主体统一登记注册。负责组织实施各类企业、农民专业合作社和从事经营活动的单位、个体工商户以及外国</w:t>
      </w:r>
      <w:r>
        <w:rPr>
          <w:color w:val="000000"/>
          <w:kern w:val="0"/>
          <w:sz w:val="31"/>
          <w:szCs w:val="31"/>
        </w:rPr>
        <w:t>(</w:t>
      </w:r>
      <w:r>
        <w:rPr>
          <w:rFonts w:hint="eastAsia" w:ascii="仿宋_GB2312" w:hAnsi="宋体" w:eastAsia="仿宋_GB2312" w:cs="仿宋_GB2312"/>
          <w:color w:val="000000"/>
          <w:kern w:val="0"/>
          <w:sz w:val="31"/>
          <w:szCs w:val="31"/>
        </w:rPr>
        <w:t>地区</w:t>
      </w:r>
      <w:r>
        <w:rPr>
          <w:color w:val="000000"/>
          <w:kern w:val="0"/>
          <w:sz w:val="31"/>
          <w:szCs w:val="31"/>
        </w:rPr>
        <w:t>)</w:t>
      </w:r>
      <w:r>
        <w:rPr>
          <w:rFonts w:hint="eastAsia" w:ascii="仿宋_GB2312" w:hAnsi="宋体" w:eastAsia="仿宋_GB2312" w:cs="仿宋_GB2312"/>
          <w:color w:val="000000"/>
          <w:kern w:val="0"/>
          <w:sz w:val="31"/>
          <w:szCs w:val="31"/>
        </w:rPr>
        <w:t>企业常驻代表机构等市场主体的登记注册和监督管理工作。建立市场主体信息公示和共享机制，依法公示和共享有关信息。加强信用监管，推动市场主体信用体系建设。</w:t>
      </w:r>
    </w:p>
    <w:p w14:paraId="0899C34A">
      <w:pPr>
        <w:widowControl/>
        <w:ind w:firstLine="620" w:firstLineChars="200"/>
        <w:jc w:val="left"/>
      </w:pPr>
      <w:r>
        <w:rPr>
          <w:rFonts w:hint="eastAsia" w:ascii="仿宋_GB2312" w:hAnsi="宋体" w:eastAsia="仿宋_GB2312" w:cs="仿宋_GB2312"/>
          <w:color w:val="000000"/>
          <w:kern w:val="0"/>
          <w:sz w:val="31"/>
          <w:szCs w:val="31"/>
        </w:rPr>
        <w:t>（四）负责监督管理市场秩序。依法监督管理市场交易、网络商品交易及有关服务的行为。查处价格、收费违法违规、不正当竞争、违法直销、传销、侵犯商标专利知识产权和制售假冒伪劣行为。指导广告业发展，监督管理广告活动。查处无照生产经营和相关无证生产经营行为。指导临高县消费者委员会开展消费维权工作。</w:t>
      </w:r>
    </w:p>
    <w:p w14:paraId="1C2062DD">
      <w:pPr>
        <w:widowControl/>
        <w:ind w:firstLine="620" w:firstLineChars="200"/>
        <w:jc w:val="left"/>
      </w:pPr>
      <w:r>
        <w:rPr>
          <w:rFonts w:hint="eastAsia" w:ascii="仿宋_GB2312" w:hAnsi="宋体" w:eastAsia="仿宋_GB2312" w:cs="仿宋_GB2312"/>
          <w:color w:val="000000"/>
          <w:kern w:val="0"/>
          <w:sz w:val="31"/>
          <w:szCs w:val="31"/>
        </w:rPr>
        <w:t>（五）负责市场综合监督管理。组织实施市场监督管理相关规划。规范和维护市场秩序</w:t>
      </w:r>
      <w:r>
        <w:rPr>
          <w:color w:val="000000"/>
          <w:kern w:val="0"/>
          <w:sz w:val="31"/>
          <w:szCs w:val="31"/>
        </w:rPr>
        <w:t>,</w:t>
      </w:r>
      <w:r>
        <w:rPr>
          <w:rFonts w:hint="eastAsia" w:ascii="仿宋_GB2312" w:hAnsi="宋体" w:eastAsia="仿宋_GB2312" w:cs="仿宋_GB2312"/>
          <w:color w:val="000000"/>
          <w:kern w:val="0"/>
          <w:sz w:val="31"/>
          <w:szCs w:val="31"/>
        </w:rPr>
        <w:t>加快形成法治化、国际化、便利化的营商环境和公平开放统一高效的市场环境。</w:t>
      </w:r>
    </w:p>
    <w:p w14:paraId="55F2F2F2">
      <w:pPr>
        <w:widowControl/>
        <w:ind w:firstLine="620" w:firstLineChars="200"/>
        <w:jc w:val="left"/>
      </w:pPr>
      <w:r>
        <w:rPr>
          <w:rFonts w:hint="eastAsia" w:ascii="仿宋_GB2312" w:hAnsi="宋体" w:eastAsia="仿宋_GB2312" w:cs="仿宋_GB2312"/>
          <w:color w:val="000000"/>
          <w:kern w:val="0"/>
          <w:sz w:val="31"/>
          <w:szCs w:val="31"/>
        </w:rPr>
        <w:t>（六）承担反垄断统一执法。统筹推进本区域竞争政策实施，实施公平竞争审查制度。依法依授权开展反垄断执法工作，对经营者集中行为进行反垄断审查。</w:t>
      </w:r>
    </w:p>
    <w:p w14:paraId="34D5C953">
      <w:pPr>
        <w:widowControl/>
        <w:ind w:firstLine="620" w:firstLineChars="200"/>
        <w:jc w:val="left"/>
      </w:pPr>
      <w:r>
        <w:rPr>
          <w:rFonts w:hint="eastAsia" w:ascii="仿宋_GB2312" w:hAnsi="宋体" w:eastAsia="仿宋_GB2312" w:cs="仿宋_GB2312"/>
          <w:color w:val="000000"/>
          <w:kern w:val="0"/>
          <w:sz w:val="31"/>
          <w:szCs w:val="31"/>
        </w:rPr>
        <w:t>（七）组织实施知识产权工作规划和政策措施，推进知识产权改革。负责全县商标、专利、原产地地理标志、集成电路布图设计等领域的知识产权保护。建设和完善全县知识产权保护体系。承担全县知识产权保护工作。建立和完善全县知识产权创造、运用管理和服务体系。培育高价值知识产权，拟订知识产权产业化政策。完善知识产权质押融资和信用担保机制，推进知识产权运营体系建设。建设和优化知识产权公共服务体系。负责知识产权服务机构的监督和管理。拟订知识产权服务业扶持政策，引进知识产权服务机构，培育知识产权服务品牌，加强对知识产权服务机构监督。负责知识产权对外合作与交流。负责商标、专利、地理标志执法工作，实施商标权、专利权确权和侵权判断标准。</w:t>
      </w:r>
    </w:p>
    <w:p w14:paraId="3FFE753C">
      <w:pPr>
        <w:widowControl/>
        <w:ind w:firstLine="620" w:firstLineChars="200"/>
        <w:jc w:val="left"/>
      </w:pPr>
      <w:r>
        <w:rPr>
          <w:rFonts w:hint="eastAsia" w:ascii="仿宋_GB2312" w:hAnsi="宋体" w:eastAsia="仿宋_GB2312" w:cs="仿宋_GB2312"/>
          <w:color w:val="000000"/>
          <w:kern w:val="0"/>
          <w:sz w:val="31"/>
          <w:szCs w:val="31"/>
        </w:rPr>
        <w:t>（八）负责宏观质量管理。负责质量基础设施协同服务及应用工作。会同有关部门落实工程设备质量监理制度，开展重大质量事故调查。落实缺陷产品召回制度。监督管理产品防伪工作。</w:t>
      </w:r>
    </w:p>
    <w:p w14:paraId="2DAC17C0">
      <w:pPr>
        <w:widowControl/>
        <w:ind w:firstLine="620" w:firstLineChars="200"/>
        <w:jc w:val="left"/>
      </w:pPr>
      <w:r>
        <w:rPr>
          <w:rFonts w:hint="eastAsia" w:ascii="仿宋_GB2312" w:hAnsi="宋体" w:eastAsia="仿宋_GB2312" w:cs="仿宋_GB2312"/>
          <w:color w:val="000000"/>
          <w:kern w:val="0"/>
          <w:sz w:val="31"/>
          <w:szCs w:val="31"/>
        </w:rPr>
        <w:t>（九）实施质量强县战略、食品安全战略和标准化战略。</w:t>
      </w:r>
    </w:p>
    <w:p w14:paraId="6505CECE">
      <w:pPr>
        <w:widowControl/>
        <w:ind w:firstLine="620" w:firstLineChars="200"/>
        <w:jc w:val="left"/>
      </w:pPr>
      <w:r>
        <w:rPr>
          <w:rFonts w:hint="eastAsia" w:ascii="仿宋_GB2312" w:hAnsi="宋体" w:eastAsia="仿宋_GB2312" w:cs="仿宋_GB2312"/>
          <w:color w:val="000000"/>
          <w:kern w:val="0"/>
          <w:sz w:val="31"/>
          <w:szCs w:val="31"/>
        </w:rPr>
        <w:t>（十）负责特种设备安全监督管理。综合管理特种设备安全监察、监督工作。监督检查高耗能特种设备节能标准和锅炉环境保护标准的执行情况。</w:t>
      </w:r>
    </w:p>
    <w:p w14:paraId="22DC6C06">
      <w:pPr>
        <w:widowControl/>
        <w:ind w:firstLine="620" w:firstLineChars="200"/>
        <w:jc w:val="left"/>
      </w:pPr>
      <w:r>
        <w:rPr>
          <w:rFonts w:hint="eastAsia" w:ascii="仿宋_GB2312" w:hAnsi="宋体" w:eastAsia="仿宋_GB2312" w:cs="仿宋_GB2312"/>
          <w:color w:val="000000"/>
          <w:kern w:val="0"/>
          <w:sz w:val="31"/>
          <w:szCs w:val="31"/>
        </w:rPr>
        <w:t>（十一）负责认证认可和检验检测监督管理工作。实施认证认可、合格评定和检验检测监督管理制度。规范和监督认证行业与检验检测行业发展。推进检验检测资源整合和改革工作，规范检验检测市场，完善检验检测体系。</w:t>
      </w:r>
    </w:p>
    <w:p w14:paraId="2F6D2CC1">
      <w:pPr>
        <w:widowControl/>
        <w:ind w:firstLine="620" w:firstLineChars="200"/>
        <w:jc w:val="left"/>
      </w:pPr>
      <w:r>
        <w:rPr>
          <w:rFonts w:hint="eastAsia" w:ascii="仿宋_GB2312" w:hAnsi="宋体" w:eastAsia="仿宋_GB2312" w:cs="仿宋_GB2312"/>
          <w:color w:val="000000"/>
          <w:kern w:val="0"/>
          <w:sz w:val="31"/>
          <w:szCs w:val="31"/>
        </w:rPr>
        <w:t>（十二）负责计量管理工作。落实法定计量单位和国家计量制度。管理计量器具及量值传递和比对工作。规范、监督商品量和市场计量行为。</w:t>
      </w:r>
    </w:p>
    <w:p w14:paraId="7D7AC931">
      <w:pPr>
        <w:widowControl/>
        <w:ind w:firstLine="620" w:firstLineChars="200"/>
        <w:jc w:val="left"/>
      </w:pPr>
      <w:r>
        <w:rPr>
          <w:rFonts w:hint="eastAsia" w:ascii="仿宋_GB2312" w:hAnsi="宋体" w:eastAsia="仿宋_GB2312" w:cs="仿宋_GB2312"/>
          <w:color w:val="000000"/>
          <w:kern w:val="0"/>
          <w:sz w:val="31"/>
          <w:szCs w:val="31"/>
        </w:rPr>
        <w:t>（十三）负责统一管理标准化工作。研究构建经济社会发展标准体系。依法协调指导和监督团体标准、企业标准工作。组织开展标准化试点示范，推动标准实施。全面实施企业标准自我声明公开和监督制度。</w:t>
      </w:r>
    </w:p>
    <w:p w14:paraId="16F058C2">
      <w:pPr>
        <w:widowControl/>
        <w:ind w:firstLine="620" w:firstLineChars="200"/>
        <w:jc w:val="left"/>
      </w:pPr>
      <w:r>
        <w:rPr>
          <w:rFonts w:hint="eastAsia" w:ascii="仿宋_GB2312" w:hAnsi="宋体" w:eastAsia="仿宋_GB2312" w:cs="仿宋_GB2312"/>
          <w:color w:val="000000"/>
          <w:kern w:val="0"/>
          <w:sz w:val="31"/>
          <w:szCs w:val="31"/>
        </w:rPr>
        <w:t>（十四）负责组织指导市场监督管理执法工作。整合和建设县市场监督管理执法队伍，推动实行统一的市场监管。查处上级部门交办的违法案件。规范市场监管行政执法行为。</w:t>
      </w:r>
    </w:p>
    <w:p w14:paraId="15D35793">
      <w:pPr>
        <w:widowControl/>
        <w:ind w:firstLine="620" w:firstLineChars="200"/>
        <w:jc w:val="left"/>
      </w:pPr>
      <w:r>
        <w:rPr>
          <w:rFonts w:hint="eastAsia" w:ascii="仿宋_GB2312" w:hAnsi="宋体" w:eastAsia="仿宋_GB2312" w:cs="仿宋_GB2312"/>
          <w:color w:val="000000"/>
          <w:kern w:val="0"/>
          <w:sz w:val="31"/>
          <w:szCs w:val="31"/>
        </w:rPr>
        <w:t>（十五）负责产品质量安全监督管理。实施产品质量安全风险监控、监督抽检工作。实施质量分级制度、质量安全追溯制度。负责工业产品生产许可管理工作。</w:t>
      </w:r>
    </w:p>
    <w:p w14:paraId="1E3021CC">
      <w:pPr>
        <w:widowControl/>
        <w:ind w:firstLine="620" w:firstLineChars="200"/>
        <w:jc w:val="left"/>
      </w:pPr>
      <w:r>
        <w:rPr>
          <w:rFonts w:hint="eastAsia" w:ascii="仿宋_GB2312" w:hAnsi="宋体" w:eastAsia="仿宋_GB2312" w:cs="仿宋_GB2312"/>
          <w:color w:val="000000"/>
          <w:kern w:val="0"/>
          <w:sz w:val="31"/>
          <w:szCs w:val="31"/>
        </w:rPr>
        <w:t>（十六）负责食品安全监督管理综合协调。承担对各镇、农场和有关部门履行食品安全监督管理职责的考核评价具体工作。负责食品安全应急体系建设</w:t>
      </w:r>
      <w:r>
        <w:rPr>
          <w:color w:val="000000"/>
          <w:kern w:val="0"/>
          <w:sz w:val="31"/>
          <w:szCs w:val="31"/>
        </w:rPr>
        <w:t>,</w:t>
      </w:r>
      <w:r>
        <w:rPr>
          <w:rFonts w:hint="eastAsia" w:ascii="仿宋_GB2312" w:hAnsi="宋体" w:eastAsia="仿宋_GB2312" w:cs="仿宋_GB2312"/>
          <w:color w:val="000000"/>
          <w:kern w:val="0"/>
          <w:sz w:val="31"/>
          <w:szCs w:val="31"/>
        </w:rPr>
        <w:t>组织协调食品安全事件应急处置和调查处理工作。建立健全食品安全重要信息直报制度。负责开展食品安全宣传和教育培训工作。承担县食品安全委员会日常工作。</w:t>
      </w:r>
    </w:p>
    <w:p w14:paraId="2088EC16">
      <w:pPr>
        <w:widowControl/>
        <w:ind w:firstLine="620" w:firstLineChars="200"/>
        <w:jc w:val="left"/>
      </w:pPr>
      <w:r>
        <w:rPr>
          <w:rFonts w:hint="eastAsia" w:ascii="仿宋_GB2312" w:hAnsi="宋体" w:eastAsia="仿宋_GB2312" w:cs="仿宋_GB2312"/>
          <w:color w:val="000000"/>
          <w:kern w:val="0"/>
          <w:sz w:val="31"/>
          <w:szCs w:val="31"/>
        </w:rPr>
        <w:t>（十七）负责食品质量安全监督管理。建立覆盖食品生产、流通、消费全过程的监督检查制度和隐患排查治理机制并组织实施。防范区域性、系统性食品安全风险。推动建立食品生产经营者落实主体责任的机制</w:t>
      </w:r>
      <w:r>
        <w:rPr>
          <w:color w:val="000000"/>
          <w:kern w:val="0"/>
          <w:sz w:val="31"/>
          <w:szCs w:val="31"/>
        </w:rPr>
        <w:t>,</w:t>
      </w:r>
      <w:r>
        <w:rPr>
          <w:rFonts w:hint="eastAsia" w:ascii="仿宋_GB2312" w:hAnsi="宋体" w:eastAsia="仿宋_GB2312" w:cs="仿宋_GB2312"/>
          <w:color w:val="000000"/>
          <w:kern w:val="0"/>
          <w:sz w:val="31"/>
          <w:szCs w:val="31"/>
        </w:rPr>
        <w:t>健全食品安全追溯体系。组织开展食品质量安全监督抽检、风险监测、核查处置和风险预警、风险交流工作。按规定权限办理食品质量安全管理的行政许可。负责食盐的监督管理工作。负责监管餐饮用具集中消毒服务单位。</w:t>
      </w:r>
    </w:p>
    <w:p w14:paraId="2AE19EDE">
      <w:pPr>
        <w:widowControl/>
        <w:ind w:firstLine="620" w:firstLineChars="200"/>
        <w:jc w:val="left"/>
      </w:pPr>
      <w:r>
        <w:rPr>
          <w:rFonts w:hint="eastAsia" w:ascii="仿宋_GB2312" w:hAnsi="宋体" w:eastAsia="仿宋_GB2312" w:cs="仿宋_GB2312"/>
          <w:color w:val="000000"/>
          <w:kern w:val="0"/>
          <w:sz w:val="31"/>
          <w:szCs w:val="31"/>
        </w:rPr>
        <w:t>（十八）负责药品（含中药、民族药，下同）、医疗器械、化妆品安全监督管理工作。监督实施国家药品、医疗器械和化妆品法律法规规章及标准。监督实施药品和医疗器械经营、使用质量管理规范。监督实施国家化妆品生产经营管理规范。负责药品、医疗器械和化妆品上市后风险管理。监督实施药品、医疗器械和化妆品的抽检计划。负责药品零售、医疗器械经营的许可、检查和处罚，以及化妆品生产经营和药品、医疗器械使用环节质量的检查和处罚。</w:t>
      </w:r>
    </w:p>
    <w:p w14:paraId="69D1C5CD">
      <w:pPr>
        <w:widowControl/>
        <w:ind w:firstLine="620" w:firstLineChars="200"/>
        <w:jc w:val="left"/>
      </w:pPr>
      <w:r>
        <w:rPr>
          <w:rFonts w:hint="eastAsia" w:ascii="仿宋_GB2312" w:hAnsi="宋体" w:eastAsia="仿宋_GB2312" w:cs="仿宋_GB2312"/>
          <w:color w:val="000000"/>
          <w:kern w:val="0"/>
          <w:sz w:val="31"/>
          <w:szCs w:val="31"/>
        </w:rPr>
        <w:t>（十九）负责县市场监督管理科技和信息化建设、新闻宣传、对外交流与合作等工作。承担技术性贸易措施有关工作。</w:t>
      </w:r>
    </w:p>
    <w:p w14:paraId="27537846">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rPr>
      </w:pPr>
      <w:r>
        <w:rPr>
          <w:rFonts w:hint="eastAsia" w:ascii="仿宋_GB2312" w:hAnsi="宋体" w:eastAsia="仿宋_GB2312" w:cs="仿宋_GB2312"/>
          <w:color w:val="000000"/>
          <w:kern w:val="0"/>
          <w:sz w:val="31"/>
          <w:szCs w:val="31"/>
        </w:rPr>
        <w:t>（二十）完成县委、县政府和上级部门交办的其他任务。</w:t>
      </w:r>
    </w:p>
    <w:p w14:paraId="2C67061F">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14:paraId="24C26AF4">
      <w:pPr>
        <w:keepNext w:val="0"/>
        <w:keepLines w:val="0"/>
        <w:widowControl/>
        <w:numPr>
          <w:ilvl w:val="0"/>
          <w:numId w:val="0"/>
        </w:numPr>
        <w:suppressLineNumbers w:val="0"/>
        <w:ind w:firstLine="930" w:firstLineChars="3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临高县市场监督管理局无下属单位。</w:t>
      </w:r>
    </w:p>
    <w:p w14:paraId="1C944767">
      <w:pPr>
        <w:keepNext w:val="0"/>
        <w:keepLines w:val="0"/>
        <w:widowControl/>
        <w:numPr>
          <w:ilvl w:val="0"/>
          <w:numId w:val="0"/>
        </w:numPr>
        <w:suppressLineNumbers w:val="0"/>
        <w:ind w:firstLine="930" w:firstLineChars="300"/>
        <w:jc w:val="left"/>
      </w:pPr>
      <w:r>
        <w:rPr>
          <w:rFonts w:hint="eastAsia" w:ascii="仿宋_GB2312" w:hAnsi="宋体" w:eastAsia="仿宋_GB2312" w:cs="仿宋_GB2312"/>
          <w:color w:val="000000"/>
          <w:kern w:val="0"/>
          <w:sz w:val="31"/>
          <w:szCs w:val="31"/>
          <w:lang w:val="en-US" w:eastAsia="zh-CN" w:bidi="ar"/>
        </w:rPr>
        <w:t>临高县市场监督管理局设下列内设机构：</w:t>
      </w:r>
    </w:p>
    <w:p w14:paraId="3F3A0ABB">
      <w:pPr>
        <w:keepNext w:val="0"/>
        <w:keepLines w:val="0"/>
        <w:widowControl/>
        <w:suppressLineNumbers w:val="0"/>
        <w:ind w:firstLine="620" w:firstLineChars="200"/>
        <w:jc w:val="left"/>
      </w:pPr>
      <w:r>
        <w:rPr>
          <w:rFonts w:ascii="楷体" w:hAnsi="楷体" w:eastAsia="楷体" w:cs="楷体"/>
          <w:color w:val="000000"/>
          <w:kern w:val="0"/>
          <w:sz w:val="31"/>
          <w:szCs w:val="31"/>
          <w:lang w:val="en-US" w:eastAsia="zh-CN" w:bidi="ar"/>
        </w:rPr>
        <w:t>（一）办公室（信访室）。</w:t>
      </w:r>
    </w:p>
    <w:p w14:paraId="55EA4355">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（二）组织人事室（督查室）。</w:t>
      </w:r>
    </w:p>
    <w:p w14:paraId="3A033774">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（三）信用监督管理室（登记注册室）。</w:t>
      </w:r>
    </w:p>
    <w:p w14:paraId="532CD752">
      <w:pPr>
        <w:keepNext w:val="0"/>
        <w:keepLines w:val="0"/>
        <w:widowControl/>
        <w:suppressLineNumbers w:val="0"/>
        <w:ind w:left="617" w:leftChars="294" w:firstLine="0" w:firstLineChars="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（四）市场秩序综合监督管理室（知识产权室）。</w:t>
      </w:r>
    </w:p>
    <w:p w14:paraId="3B6E8E82">
      <w:pPr>
        <w:keepNext w:val="0"/>
        <w:keepLines w:val="0"/>
        <w:widowControl/>
        <w:suppressLineNumbers w:val="0"/>
        <w:ind w:left="617" w:leftChars="294" w:firstLine="0" w:firstLineChars="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（五）质量技术监督管理室。</w:t>
      </w:r>
    </w:p>
    <w:p w14:paraId="0EA17475">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（六）特种设备安全监察室。</w:t>
      </w:r>
    </w:p>
    <w:p w14:paraId="7AE13586">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（七）食品生产流通监督管理室（食品综合协调室）。</w:t>
      </w:r>
    </w:p>
    <w:p w14:paraId="7CED6504">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（八）餐饮服务监督管理室（食品安全抽检监测室）。</w:t>
      </w:r>
    </w:p>
    <w:p w14:paraId="20FC38C1">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（九）药械化监督管理室。</w:t>
      </w:r>
    </w:p>
    <w:p w14:paraId="03FF07A0">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县市场监督管理局行政编制</w:t>
      </w:r>
      <w:r>
        <w:rPr>
          <w:rFonts w:hint="default" w:ascii="Times New Roman" w:hAnsi="Times New Roman" w:eastAsia="宋体" w:cs="Times New Roman"/>
          <w:color w:val="000000"/>
          <w:kern w:val="0"/>
          <w:sz w:val="31"/>
          <w:szCs w:val="31"/>
          <w:lang w:val="en-US" w:eastAsia="zh-CN" w:bidi="ar"/>
        </w:rPr>
        <w:t>8</w:t>
      </w:r>
      <w:r>
        <w:rPr>
          <w:rFonts w:hint="eastAsia"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名（其中局机关</w:t>
      </w:r>
      <w:r>
        <w:rPr>
          <w:rFonts w:hint="eastAsia" w:ascii="Times New Roman" w:hAnsi="Times New Roman" w:eastAsia="宋体" w:cs="Times New Roman"/>
          <w:color w:val="000000"/>
          <w:kern w:val="0"/>
          <w:sz w:val="31"/>
          <w:szCs w:val="31"/>
          <w:lang w:val="en-US" w:eastAsia="zh-CN" w:bidi="ar"/>
        </w:rPr>
        <w:t>35</w:t>
      </w:r>
      <w:r>
        <w:rPr>
          <w:rFonts w:hint="eastAsia" w:ascii="仿宋_GB2312" w:hAnsi="宋体" w:eastAsia="仿宋_GB2312" w:cs="仿宋_GB2312"/>
          <w:color w:val="000000"/>
          <w:kern w:val="0"/>
          <w:sz w:val="31"/>
          <w:szCs w:val="31"/>
          <w:lang w:val="en-US" w:eastAsia="zh-CN" w:bidi="ar"/>
        </w:rPr>
        <w:t>名，派出机构</w:t>
      </w:r>
      <w:r>
        <w:rPr>
          <w:rFonts w:hint="default" w:ascii="Times New Roman" w:hAnsi="Times New Roman" w:eastAsia="宋体" w:cs="Times New Roman"/>
          <w:color w:val="000000"/>
          <w:kern w:val="0"/>
          <w:sz w:val="31"/>
          <w:szCs w:val="31"/>
          <w:lang w:val="en-US" w:eastAsia="zh-CN" w:bidi="ar"/>
        </w:rPr>
        <w:t>45</w:t>
      </w:r>
      <w:r>
        <w:rPr>
          <w:rFonts w:hint="eastAsia" w:ascii="仿宋_GB2312" w:hAnsi="宋体" w:eastAsia="仿宋_GB2312" w:cs="仿宋_GB2312"/>
          <w:color w:val="000000"/>
          <w:kern w:val="0"/>
          <w:sz w:val="31"/>
          <w:szCs w:val="31"/>
          <w:lang w:val="en-US" w:eastAsia="zh-CN" w:bidi="ar"/>
        </w:rPr>
        <w:t>名）。设局长</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名，副局长</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名。机关工勤人员财政全额预算管理事业编制</w:t>
      </w: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名。</w:t>
      </w:r>
    </w:p>
    <w:p w14:paraId="0C91740C">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县市场监督管理局设</w:t>
      </w:r>
      <w:r>
        <w:rPr>
          <w:rFonts w:hint="default" w:ascii="Times New Roman" w:hAnsi="Times New Roman" w:eastAsia="宋体" w:cs="Times New Roman"/>
          <w:color w:val="000000"/>
          <w:kern w:val="0"/>
          <w:sz w:val="31"/>
          <w:szCs w:val="31"/>
          <w:lang w:val="en-US" w:eastAsia="zh-CN" w:bidi="ar"/>
        </w:rPr>
        <w:t>12</w:t>
      </w:r>
      <w:r>
        <w:rPr>
          <w:rFonts w:hint="eastAsia" w:ascii="仿宋_GB2312" w:hAnsi="宋体" w:eastAsia="仿宋_GB2312" w:cs="仿宋_GB2312"/>
          <w:color w:val="000000"/>
          <w:kern w:val="0"/>
          <w:sz w:val="31"/>
          <w:szCs w:val="31"/>
          <w:lang w:val="en-US" w:eastAsia="zh-CN" w:bidi="ar"/>
        </w:rPr>
        <w:t>个派出机构。</w:t>
      </w:r>
    </w:p>
    <w:p w14:paraId="4BDC9E9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临高县市场监督管理局西门市场监督管理所</w:t>
      </w:r>
    </w:p>
    <w:p w14:paraId="12414F58">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临高县市场监督管理局东门市场监督管理所</w:t>
      </w:r>
    </w:p>
    <w:p w14:paraId="7B30AF46">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临高县市场监督管理局新盈市场监督管理所</w:t>
      </w:r>
    </w:p>
    <w:p w14:paraId="0BA3F89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临高县市场监督管理局博厚市场监督管理所</w:t>
      </w:r>
    </w:p>
    <w:p w14:paraId="7CA2532D">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临高县市场监督管理局加来市场监督管理所</w:t>
      </w:r>
    </w:p>
    <w:p w14:paraId="5655D1A1">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临高县市场监督管理局多文市场监督管理所</w:t>
      </w:r>
    </w:p>
    <w:p w14:paraId="33361D7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临高县市场监督管理局南宝市场监督管理所</w:t>
      </w:r>
    </w:p>
    <w:p w14:paraId="0472A27A">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临高县市场监督管理局和舍市场监督管理所</w:t>
      </w:r>
    </w:p>
    <w:p w14:paraId="76C14AB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临高县市场监督管理局调楼市场监督管理所</w:t>
      </w:r>
    </w:p>
    <w:p w14:paraId="792CDF00">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临高县市场监督管理局皇桐市场监督管理所</w:t>
      </w:r>
    </w:p>
    <w:p w14:paraId="4919F3F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临高县市场监督管理局东英市场监督管理所</w:t>
      </w:r>
    </w:p>
    <w:p w14:paraId="6B7C7BE5">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临高县市场监督管理局波莲市场监督管理所</w:t>
      </w:r>
    </w:p>
    <w:p w14:paraId="0D5FA4B2">
      <w:pPr>
        <w:widowControl/>
        <w:spacing w:line="578" w:lineRule="exact"/>
        <w:ind w:firstLine="620" w:firstLineChars="200"/>
        <w:jc w:val="left"/>
        <w:rPr>
          <w:rFonts w:ascii="黑体" w:hAnsi="黑体" w:eastAsia="黑体"/>
          <w:sz w:val="32"/>
          <w:szCs w:val="32"/>
        </w:rPr>
      </w:pPr>
      <w:r>
        <w:rPr>
          <w:rFonts w:hint="eastAsia" w:ascii="仿宋_GB2312" w:hAnsi="宋体" w:eastAsia="仿宋_GB2312" w:cs="仿宋_GB2312"/>
          <w:color w:val="000000"/>
          <w:kern w:val="0"/>
          <w:sz w:val="31"/>
          <w:szCs w:val="31"/>
          <w:lang w:val="en-US" w:eastAsia="zh-CN" w:bidi="ar"/>
        </w:rPr>
        <w:t>以上市场监督管理所承担辖区内相应的市场监督管理职责和行政执法职责。</w:t>
      </w:r>
    </w:p>
    <w:p w14:paraId="3A310D80">
      <w:pPr>
        <w:pStyle w:val="5"/>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临高县市场监督管理局</w:t>
      </w:r>
      <w:r>
        <w:rPr>
          <w:rFonts w:hint="eastAsia" w:ascii="仿宋_GB2312" w:hAnsi="黑体" w:eastAsia="仿宋_GB2312" w:cs="仿宋_GB2312"/>
          <w:sz w:val="32"/>
          <w:szCs w:val="32"/>
          <w:lang w:val="en-US" w:eastAsia="zh-CN"/>
        </w:rPr>
        <w:t>2025年</w:t>
      </w:r>
      <w:r>
        <w:rPr>
          <w:rFonts w:hint="eastAsia" w:ascii="黑体" w:hAnsi="黑体" w:eastAsia="黑体"/>
          <w:sz w:val="32"/>
          <w:szCs w:val="32"/>
        </w:rPr>
        <w:t>年部门预算表</w:t>
      </w:r>
    </w:p>
    <w:p w14:paraId="7E856CEB">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10CEE1D1">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3CD9149E">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4D95BFB2">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9CEC0E0">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0E44E6A7">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476BE61">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23393017">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2393A917">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6B83554C">
      <w:pPr>
        <w:pStyle w:val="5"/>
        <w:numPr>
          <w:ilvl w:val="0"/>
          <w:numId w:val="3"/>
        </w:numPr>
        <w:spacing w:line="578" w:lineRule="exact"/>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项目支出绩效信息表</w:t>
      </w:r>
    </w:p>
    <w:p w14:paraId="0C8A0604">
      <w:pPr>
        <w:pStyle w:val="5"/>
        <w:numPr>
          <w:ilvl w:val="0"/>
          <w:numId w:val="1"/>
        </w:numPr>
        <w:spacing w:line="578" w:lineRule="exact"/>
        <w:ind w:firstLineChars="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lang w:val="en-US" w:eastAsia="zh-CN"/>
          <w14:textFill>
            <w14:solidFill>
              <w14:schemeClr w14:val="tx1"/>
            </w14:solidFill>
          </w14:textFill>
        </w:rPr>
        <w:t>临高县市场监督管理局</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2025年</w:t>
      </w:r>
      <w:r>
        <w:rPr>
          <w:rFonts w:hint="eastAsia" w:ascii="黑体" w:hAnsi="黑体" w:eastAsia="黑体"/>
          <w:color w:val="000000" w:themeColor="text1"/>
          <w:sz w:val="32"/>
          <w:szCs w:val="32"/>
          <w14:textFill>
            <w14:solidFill>
              <w14:schemeClr w14:val="tx1"/>
            </w14:solidFill>
          </w14:textFill>
        </w:rPr>
        <w:t>年部门预算情况说明</w:t>
      </w:r>
    </w:p>
    <w:p w14:paraId="65BFDB75">
      <w:pPr>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一、关于</w:t>
      </w:r>
      <w:r>
        <w:rPr>
          <w:rFonts w:hint="eastAsia" w:ascii="黑体" w:hAnsi="黑体" w:eastAsia="黑体"/>
          <w:color w:val="000000" w:themeColor="text1"/>
          <w:sz w:val="32"/>
          <w:szCs w:val="32"/>
          <w:lang w:eastAsia="zh-CN"/>
          <w14:textFill>
            <w14:solidFill>
              <w14:schemeClr w14:val="tx1"/>
            </w14:solidFill>
          </w14:textFill>
        </w:rPr>
        <w:t>临高县市场监督管理局</w:t>
      </w:r>
      <w:r>
        <w:rPr>
          <w:rFonts w:hint="eastAsia" w:ascii="黑体" w:hAnsi="黑体" w:eastAsia="黑体"/>
          <w:color w:val="000000" w:themeColor="text1"/>
          <w:sz w:val="32"/>
          <w:szCs w:val="32"/>
          <w:lang w:val="en-US" w:eastAsia="zh-CN"/>
          <w14:textFill>
            <w14:solidFill>
              <w14:schemeClr w14:val="tx1"/>
            </w14:solidFill>
          </w14:textFill>
        </w:rPr>
        <w:t>2025</w:t>
      </w:r>
      <w:r>
        <w:rPr>
          <w:rFonts w:hint="eastAsia" w:ascii="黑体" w:hAnsi="黑体" w:eastAsia="黑体"/>
          <w:color w:val="000000" w:themeColor="text1"/>
          <w:sz w:val="32"/>
          <w:szCs w:val="32"/>
          <w14:textFill>
            <w14:solidFill>
              <w14:schemeClr w14:val="tx1"/>
            </w14:solidFill>
          </w14:textFill>
        </w:rPr>
        <w:t>年财政拨款收支预算情况的总体说明</w:t>
      </w:r>
    </w:p>
    <w:p w14:paraId="2F991949">
      <w:pPr>
        <w:ind w:firstLine="640" w:firstLineChars="200"/>
        <w:jc w:val="left"/>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临高县市场监督管理局</w:t>
      </w:r>
      <w:r>
        <w:rPr>
          <w:rFonts w:hint="eastAsia" w:ascii="仿宋_GB2312" w:hAnsi="黑体" w:eastAsia="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年财政拨款收支总预算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3,025.29</w:t>
      </w:r>
      <w:r>
        <w:rPr>
          <w:rFonts w:hint="eastAsia" w:ascii="仿宋_GB2312" w:hAnsi="黑体" w:eastAsia="仿宋_GB2312"/>
          <w:color w:val="000000" w:themeColor="text1"/>
          <w:sz w:val="32"/>
          <w:szCs w:val="32"/>
          <w14:textFill>
            <w14:solidFill>
              <w14:schemeClr w14:val="tx1"/>
            </w14:solidFill>
          </w14:textFill>
        </w:rPr>
        <w:t>万元。其中，收入总计</w:t>
      </w:r>
      <w:r>
        <w:rPr>
          <w:rFonts w:hint="eastAsia" w:ascii="仿宋_GB2312" w:hAnsi="黑体" w:eastAsia="仿宋_GB2312" w:cs="仿宋_GB2312"/>
          <w:color w:val="000000" w:themeColor="text1"/>
          <w:sz w:val="32"/>
          <w:szCs w:val="32"/>
          <w:lang w:val="en-US" w:eastAsia="zh-CN"/>
          <w14:textFill>
            <w14:solidFill>
              <w14:schemeClr w14:val="tx1"/>
            </w14:solidFill>
          </w14:textFill>
        </w:rPr>
        <w:t>3,025.29</w:t>
      </w:r>
      <w:r>
        <w:rPr>
          <w:rFonts w:hint="eastAsia" w:ascii="仿宋_GB2312" w:hAnsi="黑体" w:eastAsia="仿宋_GB2312"/>
          <w:color w:val="000000" w:themeColor="text1"/>
          <w:sz w:val="32"/>
          <w:szCs w:val="32"/>
          <w14:textFill>
            <w14:solidFill>
              <w14:schemeClr w14:val="tx1"/>
            </w14:solidFill>
          </w14:textFill>
        </w:rPr>
        <w:t>万元，包括一般公共预算本年收入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2,994.75</w:t>
      </w:r>
      <w:r>
        <w:rPr>
          <w:rFonts w:hint="eastAsia" w:ascii="仿宋_GB2312" w:hAnsi="黑体" w:eastAsia="仿宋_GB2312"/>
          <w:color w:val="000000" w:themeColor="text1"/>
          <w:sz w:val="32"/>
          <w:szCs w:val="32"/>
          <w14:textFill>
            <w14:solidFill>
              <w14:schemeClr w14:val="tx1"/>
            </w14:solidFill>
          </w14:textFill>
        </w:rPr>
        <w:t>万元、政府性基金预算本年收入</w:t>
      </w:r>
      <w:r>
        <w:rPr>
          <w:rFonts w:hint="eastAsia" w:ascii="仿宋_GB2312" w:hAnsi="黑体" w:eastAsia="仿宋_GB2312" w:cs="仿宋_GB2312"/>
          <w:color w:val="000000" w:themeColor="text1"/>
          <w:sz w:val="32"/>
          <w:szCs w:val="32"/>
          <w:lang w:val="en-US" w:eastAsia="zh-CN"/>
          <w14:textFill>
            <w14:solidFill>
              <w14:schemeClr w14:val="tx1"/>
            </w14:solidFill>
          </w14:textFill>
        </w:rPr>
        <w:t>30.54</w:t>
      </w:r>
      <w:r>
        <w:rPr>
          <w:rFonts w:hint="eastAsia" w:ascii="仿宋_GB2312" w:hAnsi="黑体" w:eastAsia="仿宋_GB2312"/>
          <w:color w:val="000000" w:themeColor="text1"/>
          <w:sz w:val="32"/>
          <w:szCs w:val="32"/>
          <w14:textFill>
            <w14:solidFill>
              <w14:schemeClr w14:val="tx1"/>
            </w14:solidFill>
          </w14:textFill>
        </w:rPr>
        <w:t>万元；支出总计</w:t>
      </w:r>
      <w:r>
        <w:rPr>
          <w:rFonts w:hint="eastAsia" w:ascii="仿宋_GB2312" w:hAnsi="黑体" w:eastAsia="仿宋_GB2312" w:cs="仿宋_GB2312"/>
          <w:color w:val="000000" w:themeColor="text1"/>
          <w:sz w:val="32"/>
          <w:szCs w:val="32"/>
          <w:lang w:val="en-US" w:eastAsia="zh-CN"/>
          <w14:textFill>
            <w14:solidFill>
              <w14:schemeClr w14:val="tx1"/>
            </w14:solidFill>
          </w14:textFill>
        </w:rPr>
        <w:t>3,025.29</w:t>
      </w:r>
      <w:r>
        <w:rPr>
          <w:rFonts w:hint="eastAsia" w:ascii="仿宋_GB2312" w:hAnsi="黑体" w:eastAsia="仿宋_GB2312"/>
          <w:color w:val="000000" w:themeColor="text1"/>
          <w:sz w:val="32"/>
          <w:szCs w:val="32"/>
          <w14:textFill>
            <w14:solidFill>
              <w14:schemeClr w14:val="tx1"/>
            </w14:solidFill>
          </w14:textFill>
        </w:rPr>
        <w:t>万元，包括一般公共服务支出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2,070.56</w:t>
      </w:r>
      <w:r>
        <w:rPr>
          <w:rFonts w:hint="eastAsia" w:ascii="仿宋_GB2312" w:hAnsi="黑体" w:eastAsia="仿宋_GB2312"/>
          <w:color w:val="000000" w:themeColor="text1"/>
          <w:sz w:val="32"/>
          <w:szCs w:val="32"/>
          <w14:textFill>
            <w14:solidFill>
              <w14:schemeClr w14:val="tx1"/>
            </w14:solidFill>
          </w14:textFill>
        </w:rPr>
        <w:t>万元、社会保障和就业支出支出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380.32</w:t>
      </w:r>
      <w:r>
        <w:rPr>
          <w:rFonts w:hint="eastAsia" w:ascii="仿宋_GB2312" w:hAnsi="黑体" w:eastAsia="仿宋_GB2312"/>
          <w:color w:val="000000" w:themeColor="text1"/>
          <w:sz w:val="32"/>
          <w:szCs w:val="32"/>
          <w14:textFill>
            <w14:solidFill>
              <w14:schemeClr w14:val="tx1"/>
            </w14:solidFill>
          </w14:textFill>
        </w:rPr>
        <w:t>万元、卫生健康支出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370.43</w:t>
      </w:r>
      <w:r>
        <w:rPr>
          <w:rFonts w:hint="eastAsia" w:ascii="仿宋_GB2312" w:hAnsi="黑体" w:eastAsia="仿宋_GB2312"/>
          <w:color w:val="000000" w:themeColor="text1"/>
          <w:sz w:val="32"/>
          <w:szCs w:val="32"/>
          <w14:textFill>
            <w14:solidFill>
              <w14:schemeClr w14:val="tx1"/>
            </w14:solidFill>
          </w14:textFill>
        </w:rPr>
        <w:t>万元、城乡社区支出</w:t>
      </w:r>
      <w:r>
        <w:rPr>
          <w:rFonts w:hint="eastAsia" w:ascii="仿宋_GB2312" w:hAnsi="黑体" w:eastAsia="仿宋_GB2312"/>
          <w:color w:val="000000" w:themeColor="text1"/>
          <w:sz w:val="32"/>
          <w:szCs w:val="32"/>
          <w:lang w:val="en-US" w:eastAsia="zh-CN"/>
          <w14:textFill>
            <w14:solidFill>
              <w14:schemeClr w14:val="tx1"/>
            </w14:solidFill>
          </w14:textFill>
        </w:rPr>
        <w:t>30.54万元、住房保障支出173.45万元</w:t>
      </w:r>
      <w:r>
        <w:rPr>
          <w:rFonts w:hint="eastAsia" w:ascii="仿宋_GB2312" w:hAnsi="黑体" w:eastAsia="仿宋_GB2312"/>
          <w:color w:val="000000" w:themeColor="text1"/>
          <w:sz w:val="32"/>
          <w:szCs w:val="32"/>
          <w:lang w:eastAsia="zh-CN"/>
          <w14:textFill>
            <w14:solidFill>
              <w14:schemeClr w14:val="tx1"/>
            </w14:solidFill>
          </w14:textFill>
        </w:rPr>
        <w:t>。</w:t>
      </w:r>
    </w:p>
    <w:p w14:paraId="12317F41">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二、关于</w:t>
      </w:r>
      <w:r>
        <w:rPr>
          <w:rFonts w:hint="eastAsia" w:ascii="黑体" w:hAnsi="黑体" w:eastAsia="黑体"/>
          <w:color w:val="000000" w:themeColor="text1"/>
          <w:sz w:val="32"/>
          <w:szCs w:val="32"/>
          <w:lang w:eastAsia="zh-CN"/>
          <w14:textFill>
            <w14:solidFill>
              <w14:schemeClr w14:val="tx1"/>
            </w14:solidFill>
          </w14:textFill>
        </w:rPr>
        <w:t>临高县市场监督管理局</w:t>
      </w:r>
      <w:r>
        <w:rPr>
          <w:rFonts w:hint="eastAsia" w:ascii="黑体" w:hAnsi="黑体" w:eastAsia="黑体"/>
          <w:color w:val="000000" w:themeColor="text1"/>
          <w:sz w:val="32"/>
          <w:szCs w:val="32"/>
          <w:lang w:val="en-US" w:eastAsia="zh-CN"/>
          <w14:textFill>
            <w14:solidFill>
              <w14:schemeClr w14:val="tx1"/>
            </w14:solidFill>
          </w14:textFill>
        </w:rPr>
        <w:t>2025</w:t>
      </w:r>
      <w:r>
        <w:rPr>
          <w:rFonts w:hint="eastAsia" w:ascii="黑体" w:hAnsi="黑体" w:eastAsia="黑体"/>
          <w:color w:val="000000" w:themeColor="text1"/>
          <w:sz w:val="32"/>
          <w:szCs w:val="32"/>
          <w14:textFill>
            <w14:solidFill>
              <w14:schemeClr w14:val="tx1"/>
            </w14:solidFill>
          </w14:textFill>
        </w:rPr>
        <w:t>年一般公共预算当年拨款情况说明</w:t>
      </w:r>
    </w:p>
    <w:p w14:paraId="79BB0B77">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（一）一般公共预算当年规模变化情况</w:t>
      </w:r>
    </w:p>
    <w:p w14:paraId="1F0BA961">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临高县市场监督管理局</w:t>
      </w:r>
      <w:r>
        <w:rPr>
          <w:rFonts w:hint="eastAsia" w:ascii="仿宋_GB2312" w:hAnsi="黑体" w:eastAsia="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年一般公共预算当年拨款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2994.75</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val="en-US" w:eastAsia="zh-CN"/>
          <w14:textFill>
            <w14:solidFill>
              <w14:schemeClr w14:val="tx1"/>
            </w14:solidFill>
          </w14:textFill>
        </w:rPr>
        <w:t>减少333.30</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因人员减少及政府缩减经费预算。</w:t>
      </w:r>
    </w:p>
    <w:p w14:paraId="7EE795D0">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14:paraId="0AA47BD3">
      <w:pPr>
        <w:ind w:firstLine="800" w:firstLineChars="25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一般公共服务（类）支出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2070.56</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69.14</w:t>
      </w:r>
      <w:r>
        <w:rPr>
          <w:rFonts w:hint="eastAsia" w:ascii="仿宋_GB2312" w:hAnsi="黑体" w:eastAsia="仿宋_GB2312"/>
          <w:color w:val="000000" w:themeColor="text1"/>
          <w:sz w:val="32"/>
          <w:szCs w:val="32"/>
          <w14:textFill>
            <w14:solidFill>
              <w14:schemeClr w14:val="tx1"/>
            </w14:solidFill>
          </w14:textFill>
        </w:rPr>
        <w:t>%； 社会保障和就业支出</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380.32</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12.70</w:t>
      </w:r>
      <w:r>
        <w:rPr>
          <w:rFonts w:hint="eastAsia" w:ascii="仿宋_GB2312" w:hAnsi="黑体" w:eastAsia="仿宋_GB2312"/>
          <w:color w:val="000000" w:themeColor="text1"/>
          <w:sz w:val="32"/>
          <w:szCs w:val="32"/>
          <w14:textFill>
            <w14:solidFill>
              <w14:schemeClr w14:val="tx1"/>
            </w14:solidFill>
          </w14:textFill>
        </w:rPr>
        <w:t>%； 卫生健康支出</w:t>
      </w:r>
      <w:r>
        <w:rPr>
          <w:rFonts w:hint="eastAsia" w:ascii="仿宋_GB2312" w:hAnsi="黑体" w:eastAsia="仿宋_GB2312"/>
          <w:color w:val="000000" w:themeColor="text1"/>
          <w:sz w:val="32"/>
          <w:szCs w:val="32"/>
          <w:lang w:val="en-US" w:eastAsia="zh-CN"/>
          <w14:textFill>
            <w14:solidFill>
              <w14:schemeClr w14:val="tx1"/>
            </w14:solidFill>
          </w14:textFill>
        </w:rPr>
        <w:t>370.43</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12.37</w:t>
      </w:r>
      <w:r>
        <w:rPr>
          <w:rFonts w:hint="eastAsia" w:ascii="仿宋_GB2312" w:hAnsi="黑体" w:eastAsia="仿宋_GB2312"/>
          <w:color w:val="000000" w:themeColor="text1"/>
          <w:sz w:val="32"/>
          <w:szCs w:val="32"/>
          <w14:textFill>
            <w14:solidFill>
              <w14:schemeClr w14:val="tx1"/>
            </w14:solidFill>
          </w14:textFill>
        </w:rPr>
        <w:t>%； 城乡社区支出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30.54</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1.02</w:t>
      </w:r>
      <w:r>
        <w:rPr>
          <w:rFonts w:hint="eastAsia" w:ascii="仿宋_GB2312" w:hAnsi="黑体" w:eastAsia="仿宋_GB2312"/>
          <w:color w:val="000000" w:themeColor="text1"/>
          <w:sz w:val="32"/>
          <w:szCs w:val="32"/>
          <w14:textFill>
            <w14:solidFill>
              <w14:schemeClr w14:val="tx1"/>
            </w14:solidFill>
          </w14:textFill>
        </w:rPr>
        <w:t>%； 住房保障支出</w:t>
      </w:r>
      <w:r>
        <w:rPr>
          <w:rFonts w:hint="eastAsia" w:ascii="仿宋_GB2312" w:hAnsi="黑体" w:eastAsia="仿宋_GB2312"/>
          <w:color w:val="000000" w:themeColor="text1"/>
          <w:sz w:val="32"/>
          <w:szCs w:val="32"/>
          <w:lang w:val="en-US" w:eastAsia="zh-CN"/>
          <w14:textFill>
            <w14:solidFill>
              <w14:schemeClr w14:val="tx1"/>
            </w14:solidFill>
          </w14:textFill>
        </w:rPr>
        <w:t>173.45万元，占5.79%。</w:t>
      </w:r>
    </w:p>
    <w:p w14:paraId="40324A0D">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14:paraId="4DC91BFF">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一般公共服务（类）市场监督管理事务（款）行政运行（项）</w:t>
      </w:r>
      <w:r>
        <w:rPr>
          <w:rFonts w:hint="eastAsia" w:ascii="仿宋_GB2312" w:hAnsi="黑体" w:eastAsia="仿宋_GB2312"/>
          <w:sz w:val="32"/>
          <w:szCs w:val="32"/>
        </w:rPr>
        <w:t>年预算数</w:t>
      </w:r>
      <w:r>
        <w:rPr>
          <w:rFonts w:hint="eastAsia" w:ascii="仿宋_GB2312" w:hAnsi="黑体" w:eastAsia="仿宋_GB2312"/>
          <w:sz w:val="32"/>
          <w:szCs w:val="32"/>
          <w:lang w:val="en-US" w:eastAsia="zh-CN"/>
        </w:rPr>
        <w:t>2070.56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减少320.16万</w:t>
      </w:r>
      <w:r>
        <w:rPr>
          <w:rFonts w:hint="eastAsia" w:ascii="仿宋_GB2312" w:hAnsi="黑体" w:eastAsia="仿宋_GB2312"/>
          <w:sz w:val="32"/>
          <w:szCs w:val="32"/>
        </w:rPr>
        <w:t>元</w:t>
      </w:r>
      <w:r>
        <w:rPr>
          <w:rFonts w:hint="eastAsia" w:ascii="仿宋_GB2312" w:hAnsi="黑体" w:eastAsia="仿宋_GB2312"/>
          <w:sz w:val="32"/>
          <w:szCs w:val="32"/>
          <w:lang w:eastAsia="zh-CN"/>
        </w:rPr>
        <w:t>。主要是因为</w:t>
      </w:r>
      <w:r>
        <w:rPr>
          <w:rFonts w:hint="eastAsia" w:ascii="仿宋_GB2312" w:hAnsi="黑体" w:eastAsia="仿宋_GB2312"/>
          <w:sz w:val="32"/>
          <w:szCs w:val="32"/>
          <w:lang w:val="en-US" w:eastAsia="zh-CN"/>
        </w:rPr>
        <w:t>部门对市场监督管理事务的投入力度增加</w:t>
      </w:r>
      <w:r>
        <w:rPr>
          <w:rFonts w:hint="eastAsia" w:ascii="仿宋_GB2312" w:hAnsi="黑体" w:eastAsia="仿宋_GB2312"/>
          <w:sz w:val="32"/>
          <w:szCs w:val="32"/>
          <w:lang w:eastAsia="zh-CN"/>
        </w:rPr>
        <w:t>。</w:t>
      </w:r>
    </w:p>
    <w:p w14:paraId="7CD65B18">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eastAsia="zh-CN"/>
        </w:rPr>
        <w:t>（类）行政事业单位养老支出（</w:t>
      </w:r>
      <w:r>
        <w:rPr>
          <w:rFonts w:hint="eastAsia" w:ascii="仿宋_GB2312" w:hAnsi="黑体" w:eastAsia="仿宋_GB2312" w:cs="仿宋_GB2312"/>
          <w:sz w:val="32"/>
          <w:szCs w:val="32"/>
          <w:lang w:val="en-US" w:eastAsia="zh-CN"/>
        </w:rPr>
        <w:t>款）</w:t>
      </w:r>
      <w:r>
        <w:rPr>
          <w:rFonts w:hint="eastAsia" w:ascii="仿宋_GB2312" w:hAnsi="黑体" w:eastAsia="仿宋_GB2312" w:cs="仿宋_GB2312"/>
          <w:sz w:val="32"/>
          <w:szCs w:val="32"/>
          <w:lang w:eastAsia="zh-CN"/>
        </w:rPr>
        <w:t>行政单位离退休（项）</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23.28</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w:t>
      </w:r>
      <w:r>
        <w:rPr>
          <w:rFonts w:hint="eastAsia" w:ascii="仿宋_GB2312" w:hAnsi="黑体" w:eastAsia="仿宋_GB2312"/>
          <w:sz w:val="32"/>
          <w:szCs w:val="32"/>
          <w:lang w:val="en-US" w:eastAsia="zh-CN"/>
        </w:rPr>
        <w:t>预算数增加1.79万元。</w:t>
      </w:r>
    </w:p>
    <w:p w14:paraId="31BCD2A0">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3.社会保障和就业支出（类）行政事业单位养老支出（款）机关事业单位基本养老保险缴费支出（项）年预算数为233.26万元，比上年预算数增加12.99万元。主要是因为本单位人员逐渐退休，缴费人数增加。</w:t>
      </w:r>
    </w:p>
    <w:p w14:paraId="525F1E06">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4.社会保障和就业支出（类）行政事业单位养老支出（款）机关事业单位职业年金缴费支出（项）年预算数为116.63万元，比上年预算数增加6.49万元。主要是因为本单位人员逐年退休，缴费人数增加。</w:t>
      </w:r>
    </w:p>
    <w:p w14:paraId="078201CC">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5.社会保障和就业支出（类）抚恤（款）其他优抚支出（项）年预算数为7.15万元，比上年预算数减少1.15万元。主要是因为抚恤金标准提高。</w:t>
      </w:r>
    </w:p>
    <w:p w14:paraId="47DBD8BE">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6.卫生健康支出（类）行政事业单位医疗（款）行政单位医疗（项）年预算数为105.89万元，比上年预算数增加7.57万元。主要是因为社保基数提高。</w:t>
      </w:r>
    </w:p>
    <w:p w14:paraId="275DBF48">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7.卫生健康支出（类）行政事业单位医疗（款）公务员医疗补助（项）</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264.54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比上年预算数减增加28.39万元。主要是因为社保基数提高。</w:t>
      </w:r>
    </w:p>
    <w:p w14:paraId="3195FA0D">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8.住房保障支出（类）住房改革支出（款）住房公积金（项）</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163.38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比上年预算数增加10.07万元。主要是因为人员工资增长，缴费基数提高了。</w:t>
      </w:r>
    </w:p>
    <w:p w14:paraId="2DAF8345">
      <w:pPr>
        <w:ind w:firstLine="640"/>
        <w:rPr>
          <w:rFonts w:hint="default" w:ascii="黑体" w:hAnsi="黑体" w:eastAsia="黑体"/>
          <w:sz w:val="32"/>
          <w:szCs w:val="32"/>
          <w:lang w:val="en-US" w:eastAsia="zh-CN"/>
        </w:rPr>
      </w:pPr>
      <w:r>
        <w:rPr>
          <w:rFonts w:hint="eastAsia" w:ascii="黑体" w:hAnsi="黑体" w:eastAsia="黑体"/>
          <w:sz w:val="32"/>
          <w:szCs w:val="32"/>
        </w:rPr>
        <w:t>三、关于</w:t>
      </w:r>
      <w:r>
        <w:rPr>
          <w:rFonts w:hint="eastAsia" w:ascii="黑体" w:hAnsi="黑体" w:eastAsia="黑体"/>
          <w:sz w:val="32"/>
          <w:szCs w:val="32"/>
          <w:lang w:eastAsia="zh-CN"/>
        </w:rPr>
        <w:t>临高县市场监督管理局</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138192DA">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临高县市场监督管理局</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2,969.85</w:t>
      </w:r>
      <w:r>
        <w:rPr>
          <w:rFonts w:hint="eastAsia" w:ascii="仿宋_GB2312" w:hAnsi="黑体" w:eastAsia="仿宋_GB2312"/>
          <w:sz w:val="32"/>
          <w:szCs w:val="32"/>
        </w:rPr>
        <w:t>万元，其中：</w:t>
      </w:r>
    </w:p>
    <w:p w14:paraId="5121FE19">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2,707.74</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val="en-US" w:eastAsia="zh-CN"/>
        </w:rPr>
        <w:t>绩效工资、机关事业单位基本养老保险缴费、职业年金缴费、职工基本医疗保险缴费、公务员医疗补助缴费、其他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w:t>
      </w:r>
      <w:r>
        <w:rPr>
          <w:rFonts w:hint="eastAsia" w:ascii="仿宋_GB2312" w:hAnsi="黑体" w:eastAsia="仿宋_GB2312"/>
          <w:sz w:val="32"/>
          <w:szCs w:val="32"/>
          <w:lang w:val="en-US" w:eastAsia="zh-CN"/>
        </w:rPr>
        <w:t>差旅费</w:t>
      </w:r>
      <w:r>
        <w:rPr>
          <w:rFonts w:hint="eastAsia" w:ascii="仿宋_GB2312" w:hAnsi="黑体" w:eastAsia="仿宋_GB2312"/>
          <w:sz w:val="32"/>
          <w:szCs w:val="32"/>
          <w:lang w:eastAsia="zh-CN"/>
        </w:rPr>
        <w:t>、其他交通费用对个人和家庭的补助、离休费、生活补助</w:t>
      </w:r>
      <w:r>
        <w:rPr>
          <w:rFonts w:hint="eastAsia" w:ascii="仿宋_GB2312" w:hAnsi="黑体" w:eastAsia="仿宋_GB2312"/>
          <w:sz w:val="32"/>
          <w:szCs w:val="32"/>
        </w:rPr>
        <w:t>;</w:t>
      </w:r>
    </w:p>
    <w:p w14:paraId="341DCFA1">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262.11</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w:t>
      </w:r>
      <w:r>
        <w:rPr>
          <w:rFonts w:hint="eastAsia" w:ascii="仿宋_GB2312" w:hAnsi="黑体" w:eastAsia="仿宋_GB2312"/>
          <w:sz w:val="32"/>
          <w:szCs w:val="32"/>
        </w:rPr>
        <w:t>费、</w:t>
      </w:r>
      <w:r>
        <w:rPr>
          <w:rFonts w:hint="eastAsia" w:ascii="仿宋_GB2312" w:hAnsi="黑体" w:eastAsia="仿宋_GB2312"/>
          <w:sz w:val="32"/>
          <w:szCs w:val="32"/>
          <w:lang w:val="en-US" w:eastAsia="zh-CN"/>
        </w:rPr>
        <w:t>手续费、</w:t>
      </w:r>
      <w:r>
        <w:rPr>
          <w:rFonts w:hint="eastAsia" w:ascii="仿宋_GB2312" w:hAnsi="黑体" w:eastAsia="仿宋_GB2312"/>
          <w:sz w:val="32"/>
          <w:szCs w:val="32"/>
        </w:rPr>
        <w:t>水费、电费、</w:t>
      </w:r>
      <w:r>
        <w:rPr>
          <w:rFonts w:hint="eastAsia" w:ascii="仿宋_GB2312" w:hAnsi="黑体" w:eastAsia="仿宋_GB2312"/>
          <w:sz w:val="32"/>
          <w:szCs w:val="32"/>
          <w:lang w:val="en-US" w:eastAsia="zh-CN"/>
        </w:rPr>
        <w:t>邮电费、差旅费、维修（护）费、工会经费、其他商品和服务支出、办公设备购置</w:t>
      </w:r>
      <w:r>
        <w:rPr>
          <w:rFonts w:hint="eastAsia" w:ascii="仿宋_GB2312" w:hAnsi="黑体" w:eastAsia="仿宋_GB2312"/>
          <w:sz w:val="32"/>
          <w:szCs w:val="32"/>
        </w:rPr>
        <w:t>。</w:t>
      </w:r>
    </w:p>
    <w:p w14:paraId="35D8082B">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临高县市场监督管理局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34D47655">
      <w:pPr>
        <w:ind w:firstLine="630"/>
        <w:rPr>
          <w:rFonts w:hint="eastAsia" w:ascii="Times New Roman" w:hAnsi="Times New Roman" w:eastAsia="仿宋_GB2312" w:cs="Times New Roman"/>
          <w:sz w:val="32"/>
          <w:shd w:val="clear" w:color="auto" w:fill="FFFFFF"/>
          <w:lang w:val="en-US" w:eastAsia="zh-CN"/>
        </w:rPr>
      </w:pPr>
      <w:r>
        <w:rPr>
          <w:rFonts w:hint="eastAsia" w:ascii="仿宋_GB2312" w:hAnsi="黑体" w:eastAsia="仿宋_GB2312"/>
          <w:sz w:val="32"/>
          <w:szCs w:val="32"/>
        </w:rPr>
        <w:t>（一）</w:t>
      </w:r>
      <w:r>
        <w:rPr>
          <w:rFonts w:hint="eastAsia" w:ascii="仿宋_GB2312" w:hAnsi="黑体" w:eastAsia="仿宋_GB2312"/>
          <w:sz w:val="32"/>
          <w:szCs w:val="32"/>
          <w:lang w:eastAsia="zh-CN"/>
        </w:rPr>
        <w:t>临高县市场监督管理局</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6D2F3DFA">
      <w:pPr>
        <w:rPr>
          <w:rFonts w:hint="eastAsia" w:ascii="Times New Roman" w:hAnsi="Times New Roman" w:eastAsia="仿宋_GB2312" w:cs="Times New Roman"/>
          <w:sz w:val="32"/>
          <w:shd w:val="clear" w:color="auto" w:fill="FFFFFF"/>
          <w:lang w:val="en-US" w:eastAsia="zh-CN"/>
        </w:rPr>
      </w:pPr>
      <w:r>
        <w:rPr>
          <w:rFonts w:hint="eastAsia" w:ascii="仿宋_GB2312" w:hAnsi="黑体" w:eastAsia="仿宋_GB2312"/>
          <w:sz w:val="32"/>
          <w:szCs w:val="32"/>
        </w:rPr>
        <w:t>（二）</w:t>
      </w:r>
      <w:r>
        <w:rPr>
          <w:rFonts w:hint="eastAsia" w:ascii="仿宋_GB2312" w:hAnsi="黑体" w:eastAsia="仿宋_GB2312"/>
          <w:sz w:val="32"/>
          <w:szCs w:val="32"/>
          <w:lang w:eastAsia="zh-CN"/>
        </w:rPr>
        <w:t>临高县市场监督管理局</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0F7CF614">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临高县市场监督管理局</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20226371">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176202FC">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临高县市场监督管理局</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30.54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减少70.28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因为财政经费不足，拨款减少</w:t>
      </w:r>
      <w:r>
        <w:rPr>
          <w:rFonts w:hint="eastAsia" w:ascii="仿宋_GB2312" w:hAnsi="黑体" w:eastAsia="仿宋_GB2312"/>
          <w:sz w:val="32"/>
          <w:szCs w:val="32"/>
        </w:rPr>
        <w:t>。</w:t>
      </w:r>
    </w:p>
    <w:p w14:paraId="5CA5F625">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6C452A2">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城乡社区支出支出</w:t>
      </w:r>
      <w:r>
        <w:rPr>
          <w:rFonts w:hint="eastAsia" w:ascii="仿宋_GB2312" w:hAnsi="黑体" w:eastAsia="仿宋_GB2312" w:cs="仿宋_GB2312"/>
          <w:sz w:val="32"/>
          <w:szCs w:val="32"/>
          <w:lang w:val="en-US" w:eastAsia="zh-CN"/>
        </w:rPr>
        <w:t>30.54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3C5862A3">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75FB1DBA">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 城乡社区支出</w:t>
      </w:r>
      <w:r>
        <w:rPr>
          <w:rFonts w:hint="eastAsia" w:ascii="仿宋_GB2312" w:hAnsi="黑体" w:eastAsia="仿宋_GB2312" w:cs="仿宋_GB2312"/>
          <w:sz w:val="32"/>
          <w:szCs w:val="32"/>
          <w:lang w:val="en-US" w:eastAsia="zh-CN"/>
        </w:rPr>
        <w:t>30.54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用于</w:t>
      </w:r>
      <w:r>
        <w:rPr>
          <w:rFonts w:hint="eastAsia" w:ascii="仿宋_GB2312" w:hAnsi="黑体" w:eastAsia="仿宋_GB2312"/>
          <w:sz w:val="32"/>
          <w:szCs w:val="32"/>
          <w:lang w:val="en-US" w:eastAsia="zh-CN"/>
        </w:rPr>
        <w:t>项目支出</w:t>
      </w:r>
      <w:r>
        <w:rPr>
          <w:rFonts w:hint="eastAsia" w:ascii="仿宋_GB2312" w:hAnsi="黑体" w:eastAsia="仿宋_GB2312"/>
          <w:sz w:val="32"/>
          <w:szCs w:val="32"/>
          <w:lang w:eastAsia="zh-CN"/>
        </w:rPr>
        <w:t>。</w:t>
      </w:r>
    </w:p>
    <w:p w14:paraId="0F18081D">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临高县市场监督管理局</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11072F75">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临高县市场监督管理局</w:t>
      </w:r>
      <w:r>
        <w:rPr>
          <w:rFonts w:hint="eastAsia" w:ascii="仿宋_GB2312" w:hAnsi="黑体" w:eastAsia="仿宋_GB2312" w:cs="仿宋_GB2312"/>
          <w:sz w:val="32"/>
          <w:szCs w:val="32"/>
        </w:rPr>
        <w:t>所有收入和支出均纳入部门预算管理。收入</w:t>
      </w:r>
      <w:r>
        <w:rPr>
          <w:rFonts w:hint="eastAsia" w:ascii="仿宋_GB2312" w:hAnsi="黑体" w:eastAsia="仿宋_GB2312" w:cs="仿宋_GB2312"/>
          <w:sz w:val="32"/>
          <w:szCs w:val="32"/>
          <w:lang w:eastAsia="zh-CN"/>
        </w:rPr>
        <w:t>主要</w:t>
      </w:r>
      <w:r>
        <w:rPr>
          <w:rFonts w:hint="eastAsia" w:ascii="仿宋_GB2312" w:hAnsi="黑体" w:eastAsia="仿宋_GB2312" w:cs="仿宋_GB2312"/>
          <w:sz w:val="32"/>
          <w:szCs w:val="32"/>
        </w:rPr>
        <w:t>包括：一般公共预算收入</w:t>
      </w:r>
      <w:r>
        <w:rPr>
          <w:rFonts w:hint="eastAsia" w:ascii="仿宋_GB2312" w:hAnsi="黑体" w:eastAsia="仿宋_GB2312" w:cs="仿宋_GB2312"/>
          <w:sz w:val="32"/>
          <w:szCs w:val="32"/>
          <w:lang w:val="en-US" w:eastAsia="zh-CN"/>
        </w:rPr>
        <w:t>和政府性基金收入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、卫生健康支出、城乡社区支出、住房保障支出。临高县市场监督管理局</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3,025.29</w:t>
      </w:r>
      <w:r>
        <w:rPr>
          <w:rFonts w:hint="eastAsia" w:ascii="仿宋_GB2312" w:hAnsi="黑体" w:eastAsia="仿宋_GB2312"/>
          <w:sz w:val="32"/>
          <w:szCs w:val="32"/>
        </w:rPr>
        <w:t>万元。</w:t>
      </w:r>
    </w:p>
    <w:p w14:paraId="42F73D5E">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临高县市场监督管理局</w:t>
      </w:r>
      <w:r>
        <w:rPr>
          <w:rFonts w:hint="eastAsia" w:ascii="仿宋_GB2312" w:hAnsi="黑体" w:eastAsia="仿宋_GB2312"/>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0A43B435">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临高县市场监督管理局</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3462.17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134.11</w:t>
      </w:r>
      <w:r>
        <w:rPr>
          <w:rFonts w:hint="eastAsia" w:ascii="仿宋_GB2312" w:hAnsi="黑体" w:eastAsia="仿宋_GB2312"/>
          <w:sz w:val="32"/>
          <w:szCs w:val="32"/>
        </w:rPr>
        <w:t>万元；经费拨款收入</w:t>
      </w:r>
      <w:r>
        <w:rPr>
          <w:rFonts w:hint="eastAsia" w:ascii="仿宋_GB2312" w:hAnsi="黑体" w:eastAsia="仿宋_GB2312" w:cs="仿宋_GB2312"/>
          <w:sz w:val="32"/>
          <w:szCs w:val="32"/>
          <w:lang w:val="en-US" w:eastAsia="zh-CN"/>
        </w:rPr>
        <w:t>3328.05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96.13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26.31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因</w:t>
      </w:r>
      <w:r>
        <w:rPr>
          <w:rFonts w:hint="eastAsia" w:ascii="仿宋_GB2312" w:hAnsi="黑体" w:eastAsia="仿宋_GB2312"/>
          <w:sz w:val="32"/>
          <w:szCs w:val="32"/>
          <w:lang w:val="en-US" w:eastAsia="zh-CN"/>
        </w:rPr>
        <w:t>为上年结转资金较多</w:t>
      </w:r>
      <w:r>
        <w:rPr>
          <w:rFonts w:hint="eastAsia" w:ascii="仿宋_GB2312" w:hAnsi="黑体" w:eastAsia="仿宋_GB2312"/>
          <w:sz w:val="32"/>
          <w:szCs w:val="32"/>
          <w:lang w:eastAsia="zh-CN"/>
        </w:rPr>
        <w:t>。</w:t>
      </w:r>
    </w:p>
    <w:p w14:paraId="6315BAFE">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临高县市场监督管理局</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年支出预算情况说明</w:t>
      </w:r>
    </w:p>
    <w:p w14:paraId="05C703EB">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临高县市场监督管理局</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3,025.29</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2,969.85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98.17</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24.90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0.82</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336.05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因为</w:t>
      </w:r>
      <w:r>
        <w:rPr>
          <w:rFonts w:hint="eastAsia" w:ascii="仿宋_GB2312" w:hAnsi="黑体" w:eastAsia="仿宋_GB2312"/>
          <w:sz w:val="32"/>
          <w:szCs w:val="32"/>
          <w:lang w:val="en-US" w:eastAsia="zh-CN"/>
        </w:rPr>
        <w:t>财政资金紧张，政府削减开支</w:t>
      </w:r>
      <w:r>
        <w:rPr>
          <w:rFonts w:hint="eastAsia" w:ascii="仿宋_GB2312" w:hAnsi="黑体" w:eastAsia="仿宋_GB2312"/>
          <w:sz w:val="32"/>
          <w:szCs w:val="32"/>
        </w:rPr>
        <w:t>。</w:t>
      </w:r>
    </w:p>
    <w:p w14:paraId="190BCB9E">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5EB1351E">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14:paraId="03EAE31C">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sz w:val="32"/>
          <w:szCs w:val="32"/>
          <w:lang w:eastAsia="zh-CN"/>
        </w:rPr>
        <w:t>临高县市场监督管理局</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262.11万元。</w:t>
      </w:r>
    </w:p>
    <w:p w14:paraId="7BD7659D">
      <w:pPr>
        <w:ind w:firstLine="640" w:firstLineChars="200"/>
        <w:rPr>
          <w:rFonts w:ascii="楷体" w:hAnsi="楷体" w:eastAsia="楷体"/>
          <w:sz w:val="32"/>
          <w:szCs w:val="32"/>
        </w:rPr>
      </w:pPr>
      <w:r>
        <w:rPr>
          <w:rFonts w:hint="eastAsia" w:ascii="楷体" w:hAnsi="楷体" w:eastAsia="楷体"/>
          <w:sz w:val="32"/>
          <w:szCs w:val="32"/>
        </w:rPr>
        <w:t>（二）政府采购情况</w:t>
      </w:r>
    </w:p>
    <w:p w14:paraId="4A639CD6">
      <w:pPr>
        <w:ind w:left="319" w:leftChars="152" w:firstLine="652" w:firstLineChars="204"/>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2025</w:t>
      </w:r>
      <w:r>
        <w:rPr>
          <w:rFonts w:hint="eastAsia" w:ascii="仿宋_GB2312" w:hAnsi="黑体" w:eastAsia="仿宋_GB2312"/>
          <w:sz w:val="32"/>
          <w:szCs w:val="32"/>
          <w:lang w:eastAsia="zh-CN"/>
        </w:rPr>
        <w:t>年临高县市场监督管理局政府采购预算总额</w:t>
      </w:r>
      <w:r>
        <w:rPr>
          <w:rFonts w:hint="eastAsia" w:ascii="仿宋_GB2312" w:hAnsi="黑体" w:eastAsia="仿宋_GB2312"/>
          <w:sz w:val="32"/>
          <w:szCs w:val="32"/>
          <w:lang w:val="en-US" w:eastAsia="zh-CN"/>
        </w:rPr>
        <w:t>22.60万元。</w:t>
      </w:r>
      <w:r>
        <w:rPr>
          <w:rFonts w:hint="eastAsia" w:ascii="仿宋_GB2312" w:hAnsi="黑体" w:eastAsia="仿宋_GB2312" w:cs="仿宋_GB2312"/>
          <w:sz w:val="32"/>
          <w:szCs w:val="32"/>
          <w:lang w:val="en-US" w:eastAsia="zh-CN"/>
        </w:rPr>
        <w:t xml:space="preserve">                                                                                                                                                                                                                   </w:t>
      </w:r>
    </w:p>
    <w:p w14:paraId="7006DEAD">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69A0538C">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sz w:val="32"/>
          <w:szCs w:val="32"/>
          <w:lang w:eastAsia="zh-CN"/>
        </w:rPr>
        <w:t>临高县市场监督管理局</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辆，其中机要通信</w:t>
      </w:r>
      <w:r>
        <w:rPr>
          <w:rFonts w:hint="eastAsia" w:ascii="仿宋_GB2312" w:hAnsi="黑体" w:eastAsia="仿宋_GB2312" w:cs="仿宋_GB2312"/>
          <w:sz w:val="32"/>
          <w:szCs w:val="32"/>
          <w:lang w:val="en-US" w:eastAsia="zh-CN"/>
        </w:rPr>
        <w:t>1辆，</w:t>
      </w:r>
      <w:r>
        <w:rPr>
          <w:rFonts w:hint="eastAsia" w:ascii="仿宋_GB2312" w:hAnsi="黑体" w:eastAsia="仿宋_GB2312" w:cs="仿宋_GB2312"/>
          <w:sz w:val="32"/>
          <w:szCs w:val="32"/>
        </w:rPr>
        <w:t>应急用车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14:paraId="62E9380A">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3D5E7572">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临高县市场监督管理局</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2,994.75</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30.54</w:t>
      </w:r>
      <w:r>
        <w:rPr>
          <w:rFonts w:hint="eastAsia" w:ascii="仿宋_GB2312" w:hAnsi="黑体" w:eastAsia="仿宋_GB2312"/>
          <w:sz w:val="32"/>
          <w:szCs w:val="32"/>
        </w:rPr>
        <w:t>万元。</w:t>
      </w:r>
    </w:p>
    <w:p w14:paraId="226D007B">
      <w:pPr>
        <w:pStyle w:val="5"/>
        <w:numPr>
          <w:numId w:val="0"/>
        </w:numPr>
        <w:spacing w:line="578" w:lineRule="exact"/>
        <w:ind w:leftChars="0"/>
        <w:jc w:val="left"/>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bookmarkStart w:id="0" w:name="_GoBack"/>
      <w:bookmarkEnd w:id="0"/>
    </w:p>
    <w:p w14:paraId="2E586952">
      <w:pPr>
        <w:spacing w:line="578" w:lineRule="exact"/>
        <w:jc w:val="left"/>
        <w:rPr>
          <w:rFonts w:hint="eastAsia" w:ascii="仿宋" w:hAnsi="仿宋" w:eastAsia="仿宋" w:cs="仿宋"/>
          <w:color w:val="000000"/>
          <w:kern w:val="0"/>
          <w:sz w:val="32"/>
          <w:szCs w:val="30"/>
        </w:rPr>
      </w:pPr>
    </w:p>
    <w:p w14:paraId="7C1DA023">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729BC7D0">
      <w:pPr>
        <w:spacing w:line="578" w:lineRule="exact"/>
        <w:ind w:firstLine="640" w:firstLineChars="200"/>
        <w:jc w:val="left"/>
        <w:rPr>
          <w:rFonts w:ascii="仿宋_GB2312" w:eastAsia="仿宋_GB2312" w:cs="宋体"/>
          <w:bCs/>
          <w:color w:val="000000"/>
          <w:kern w:val="0"/>
          <w:sz w:val="32"/>
          <w:szCs w:val="32"/>
          <w:lang w:val="zh-CN"/>
        </w:rPr>
      </w:pPr>
    </w:p>
    <w:p w14:paraId="419508E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7A7C0D6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2222412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4055E72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12E44CD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1B47069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20BCA22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26B9ED1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1AEDF66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544666E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67658AA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77B8BE8C">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463401D3"/>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F2A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76B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F97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13C45">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A13C45">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377CE"/>
    <w:rsid w:val="3C6D6ECE"/>
    <w:rsid w:val="58C3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8499</Words>
  <Characters>8953</Characters>
  <Lines>0</Lines>
  <Paragraphs>0</Paragraphs>
  <TotalTime>3</TotalTime>
  <ScaleCrop>false</ScaleCrop>
  <LinksUpToDate>false</LinksUpToDate>
  <CharactersWithSpaces>9200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2025-02-27T01:55:00Z</dcterms:created>
  <dc:creator>微信用户</dc:creator>
  <cp:lastModifiedBy>微信用户</cp:lastModifiedBy>
  <dcterms:modified xsi:type="dcterms:W3CDTF">2025-02-27T02:04:58Z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5799BFDA1CA54E8DA915BB5C82E763FA_11</vt:lpwstr>
  </property>
  <property fmtid="{D5CDD505-2E9C-101B-9397-08002B2CF9AE}" pid="4" name="KSOTemplateDocerSaveRecord">
    <vt:lpwstr>eyJoZGlkIjoiNTI5YjgwZWZmN2NmMjY2MTIwZmQxM2I0NzJhYzU5ODAiLCJ1c2VySWQiOiIxMzQ5NDk0Mzg5In0=</vt:lpwstr>
  </property>
</Properties>
</file>