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1F225">
      <w:pPr>
        <w:rPr>
          <w:sz w:val="84"/>
          <w:szCs w:val="84"/>
          <w:u w:val="single"/>
        </w:rPr>
      </w:pPr>
    </w:p>
    <w:p w14:paraId="782507B3">
      <w:pPr>
        <w:rPr>
          <w:sz w:val="84"/>
          <w:szCs w:val="84"/>
          <w:u w:val="single"/>
        </w:rPr>
      </w:pPr>
    </w:p>
    <w:p w14:paraId="47F31363">
      <w:pPr>
        <w:rPr>
          <w:sz w:val="84"/>
          <w:szCs w:val="84"/>
          <w:u w:val="single"/>
        </w:rPr>
      </w:pPr>
    </w:p>
    <w:p w14:paraId="0C19973D">
      <w:pPr>
        <w:rPr>
          <w:sz w:val="84"/>
          <w:szCs w:val="84"/>
          <w:u w:val="single"/>
        </w:rPr>
      </w:pPr>
    </w:p>
    <w:p w14:paraId="06737E04">
      <w:pPr>
        <w:jc w:val="center"/>
        <w:rPr>
          <w:sz w:val="52"/>
          <w:szCs w:val="52"/>
        </w:rPr>
      </w:pPr>
      <w:r>
        <w:rPr>
          <w:rFonts w:hint="eastAsia"/>
          <w:color w:val="000000" w:themeColor="text1"/>
          <w:sz w:val="52"/>
          <w:szCs w:val="52"/>
          <w:u w:val="none"/>
          <w:lang w:val="en-US" w:eastAsia="zh-CN"/>
          <w14:textFill>
            <w14:solidFill>
              <w14:schemeClr w14:val="tx1"/>
            </w14:solidFill>
          </w14:textFill>
        </w:rPr>
        <w:t>2023</w:t>
      </w:r>
      <w:r>
        <w:rPr>
          <w:rFonts w:hint="eastAsia"/>
          <w:sz w:val="52"/>
          <w:szCs w:val="52"/>
        </w:rPr>
        <w:t>年</w:t>
      </w:r>
      <w:r>
        <w:rPr>
          <w:rFonts w:hint="eastAsia"/>
          <w:sz w:val="52"/>
          <w:szCs w:val="52"/>
          <w:lang w:val="en-US" w:eastAsia="zh-CN"/>
        </w:rPr>
        <w:t>临高县科学技术协会</w:t>
      </w:r>
      <w:r>
        <w:rPr>
          <w:rFonts w:hint="eastAsia"/>
          <w:sz w:val="52"/>
          <w:szCs w:val="52"/>
        </w:rPr>
        <w:t>部门</w:t>
      </w:r>
      <w:r>
        <w:rPr>
          <w:rFonts w:hint="eastAsia"/>
          <w:sz w:val="52"/>
          <w:szCs w:val="52"/>
          <w:lang w:val="en-US" w:eastAsia="zh-CN"/>
        </w:rPr>
        <w:t xml:space="preserve">  决</w:t>
      </w:r>
      <w:r>
        <w:rPr>
          <w:rFonts w:hint="eastAsia"/>
          <w:sz w:val="52"/>
          <w:szCs w:val="52"/>
        </w:rPr>
        <w:t>算</w:t>
      </w:r>
    </w:p>
    <w:p w14:paraId="3DADEDD4"/>
    <w:p w14:paraId="408E3BEF"/>
    <w:p w14:paraId="23DA8258"/>
    <w:p w14:paraId="3C0E1F37"/>
    <w:p w14:paraId="23E88153"/>
    <w:p w14:paraId="36CB8809"/>
    <w:p w14:paraId="0C464350"/>
    <w:p w14:paraId="4D0D842B"/>
    <w:p w14:paraId="7454DC6E"/>
    <w:p w14:paraId="1E385067"/>
    <w:p w14:paraId="509D24FF"/>
    <w:p w14:paraId="1110BE1E"/>
    <w:p w14:paraId="36424C0D"/>
    <w:p w14:paraId="28044A8B"/>
    <w:p w14:paraId="5BA95A7B"/>
    <w:p w14:paraId="1ABA5C75"/>
    <w:p w14:paraId="61D9E991"/>
    <w:p w14:paraId="159D9B1E"/>
    <w:p w14:paraId="4A34D288"/>
    <w:p w14:paraId="33E68AEF"/>
    <w:p w14:paraId="7B0D84E2"/>
    <w:p w14:paraId="1F46E25F"/>
    <w:p w14:paraId="50F20D4E">
      <w:pPr>
        <w:jc w:val="center"/>
        <w:rPr>
          <w:rFonts w:hint="eastAsia" w:ascii="黑体" w:hAnsi="黑体" w:eastAsia="黑体"/>
          <w:sz w:val="52"/>
          <w:szCs w:val="52"/>
        </w:rPr>
      </w:pPr>
      <w:r>
        <w:rPr>
          <w:rFonts w:hint="eastAsia" w:ascii="黑体" w:hAnsi="黑体" w:eastAsia="黑体"/>
          <w:sz w:val="52"/>
          <w:szCs w:val="52"/>
        </w:rPr>
        <w:t>目录</w:t>
      </w:r>
    </w:p>
    <w:p w14:paraId="7A46DF9B">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第一部分</w:t>
      </w:r>
      <w:r>
        <w:rPr>
          <w:rFonts w:hint="eastAsia" w:ascii="黑体" w:hAnsi="黑体" w:eastAsia="黑体" w:cs="黑体"/>
          <w:b w:val="0"/>
          <w:bCs w:val="0"/>
          <w:sz w:val="32"/>
          <w:szCs w:val="32"/>
        </w:rPr>
        <w:t xml:space="preserve">   临高县科学技术协会概况</w:t>
      </w:r>
    </w:p>
    <w:p w14:paraId="05CE25D8">
      <w:pPr>
        <w:pStyle w:val="4"/>
        <w:numPr>
          <w:ilvl w:val="0"/>
          <w:numId w:val="0"/>
        </w:numPr>
        <w:ind w:left="720" w:leftChars="0" w:hanging="720" w:firstLineChars="0"/>
        <w:jc w:val="left"/>
        <w:rPr>
          <w:rFonts w:ascii="黑体" w:hAnsi="黑体" w:eastAsia="黑体"/>
          <w:sz w:val="32"/>
          <w:szCs w:val="32"/>
        </w:rPr>
      </w:pPr>
      <w:r>
        <w:rPr>
          <w:rFonts w:hint="default" w:ascii="黑体" w:hAnsi="黑体" w:eastAsia="黑体" w:cs="Times New Roman"/>
          <w:kern w:val="2"/>
          <w:sz w:val="32"/>
          <w:szCs w:val="32"/>
          <w:lang w:val="en-US" w:eastAsia="zh-CN" w:bidi="ar-SA"/>
        </w:rPr>
        <w:t>一、</w:t>
      </w:r>
      <w:r>
        <w:rPr>
          <w:rFonts w:hint="eastAsia" w:ascii="黑体" w:hAnsi="黑体" w:eastAsia="黑体"/>
          <w:sz w:val="32"/>
          <w:szCs w:val="32"/>
        </w:rPr>
        <w:t>主要职能</w:t>
      </w:r>
    </w:p>
    <w:p w14:paraId="4042626E">
      <w:pPr>
        <w:pStyle w:val="4"/>
        <w:numPr>
          <w:ilvl w:val="0"/>
          <w:numId w:val="0"/>
        </w:numPr>
        <w:ind w:left="720" w:leftChars="0" w:hanging="720" w:firstLineChars="0"/>
        <w:jc w:val="left"/>
        <w:rPr>
          <w:rFonts w:hint="eastAsia" w:ascii="黑体" w:hAnsi="黑体" w:eastAsia="黑体"/>
          <w:sz w:val="32"/>
          <w:szCs w:val="32"/>
        </w:rPr>
      </w:pPr>
      <w:r>
        <w:rPr>
          <w:rFonts w:hint="default" w:ascii="黑体" w:hAnsi="黑体" w:eastAsia="黑体" w:cs="Times New Roman"/>
          <w:kern w:val="2"/>
          <w:sz w:val="32"/>
          <w:szCs w:val="32"/>
          <w:lang w:val="en-US" w:eastAsia="zh-CN" w:bidi="ar-SA"/>
        </w:rPr>
        <w:t>二、</w:t>
      </w:r>
      <w:r>
        <w:rPr>
          <w:rFonts w:hint="eastAsia" w:ascii="黑体" w:hAnsi="黑体" w:eastAsia="黑体"/>
          <w:sz w:val="32"/>
          <w:szCs w:val="32"/>
        </w:rPr>
        <w:t>预算单位构成</w:t>
      </w:r>
    </w:p>
    <w:p w14:paraId="59687CDA">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第二部分</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临高县科学技术协会</w:t>
      </w:r>
      <w:r>
        <w:rPr>
          <w:rFonts w:hint="eastAsia" w:ascii="黑体" w:hAnsi="黑体" w:eastAsia="黑体" w:cs="黑体"/>
          <w:b w:val="0"/>
          <w:bCs w:val="0"/>
          <w:sz w:val="32"/>
          <w:szCs w:val="32"/>
          <w:lang w:eastAsia="zh-CN"/>
        </w:rPr>
        <w:t>202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年部门</w:t>
      </w:r>
      <w:r>
        <w:rPr>
          <w:rFonts w:hint="eastAsia" w:ascii="黑体" w:hAnsi="黑体" w:eastAsia="黑体" w:cs="黑体"/>
          <w:b w:val="0"/>
          <w:bCs w:val="0"/>
          <w:sz w:val="32"/>
          <w:szCs w:val="32"/>
          <w:lang w:val="en-US" w:eastAsia="zh-CN"/>
        </w:rPr>
        <w:t>决</w:t>
      </w:r>
      <w:r>
        <w:rPr>
          <w:rFonts w:hint="eastAsia" w:ascii="黑体" w:hAnsi="黑体" w:eastAsia="黑体" w:cs="黑体"/>
          <w:b w:val="0"/>
          <w:bCs w:val="0"/>
          <w:sz w:val="32"/>
          <w:szCs w:val="32"/>
        </w:rPr>
        <w:t>算表</w:t>
      </w:r>
    </w:p>
    <w:p w14:paraId="3BD92FD5">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第三部分</w:t>
      </w:r>
      <w:r>
        <w:rPr>
          <w:rFonts w:hint="eastAsia" w:ascii="黑体" w:hAnsi="黑体" w:eastAsia="黑体" w:cs="黑体"/>
          <w:b w:val="0"/>
          <w:bCs w:val="0"/>
          <w:sz w:val="32"/>
          <w:szCs w:val="32"/>
        </w:rPr>
        <w:t xml:space="preserve">  临高县科学技术协会202</w:t>
      </w:r>
      <w:r>
        <w:rPr>
          <w:rFonts w:hint="eastAsia" w:ascii="黑体" w:hAnsi="黑体" w:eastAsia="黑体" w:cs="黑体"/>
          <w:b w:val="0"/>
          <w:bCs w:val="0"/>
          <w:sz w:val="32"/>
          <w:szCs w:val="32"/>
          <w:lang w:val="en-US" w:eastAsia="zh-CN"/>
        </w:rPr>
        <w:t>3</w:t>
      </w:r>
      <w:r>
        <w:rPr>
          <w:rFonts w:hint="eastAsia" w:ascii="黑体" w:hAnsi="黑体" w:eastAsia="黑体" w:cs="黑体"/>
          <w:b w:val="0"/>
          <w:bCs w:val="0"/>
          <w:sz w:val="32"/>
          <w:szCs w:val="32"/>
        </w:rPr>
        <w:t>年部门</w:t>
      </w:r>
      <w:r>
        <w:rPr>
          <w:rFonts w:hint="eastAsia" w:ascii="黑体" w:hAnsi="黑体" w:eastAsia="黑体" w:cs="黑体"/>
          <w:b w:val="0"/>
          <w:bCs w:val="0"/>
          <w:sz w:val="32"/>
          <w:szCs w:val="32"/>
          <w:lang w:val="en-US" w:eastAsia="zh-CN"/>
        </w:rPr>
        <w:t>决</w:t>
      </w:r>
      <w:r>
        <w:rPr>
          <w:rFonts w:hint="eastAsia" w:ascii="黑体" w:hAnsi="黑体" w:eastAsia="黑体" w:cs="黑体"/>
          <w:b w:val="0"/>
          <w:bCs w:val="0"/>
          <w:sz w:val="32"/>
          <w:szCs w:val="32"/>
        </w:rPr>
        <w:t>算情况说明</w:t>
      </w:r>
    </w:p>
    <w:p w14:paraId="194DA253">
      <w:pPr>
        <w:pStyle w:val="5"/>
        <w:keepNext w:val="0"/>
        <w:keepLines w:val="0"/>
        <w:pageBreakBefore w:val="0"/>
        <w:numPr>
          <w:ilvl w:val="0"/>
          <w:numId w:val="0"/>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fldChar w:fldCharType="end"/>
      </w:r>
    </w:p>
    <w:p w14:paraId="392D4F47">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fldChar w:fldCharType="end"/>
      </w:r>
    </w:p>
    <w:p w14:paraId="5E4787C8">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fldChar w:fldCharType="end"/>
      </w:r>
    </w:p>
    <w:p w14:paraId="057EE11C">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fldChar w:fldCharType="end"/>
      </w:r>
    </w:p>
    <w:p w14:paraId="4EC08587">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fldChar w:fldCharType="end"/>
      </w:r>
    </w:p>
    <w:p w14:paraId="7612ECC2">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p>
    <w:p w14:paraId="0D247D02">
      <w:pPr>
        <w:pStyle w:val="5"/>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p>
    <w:p w14:paraId="14000DA6">
      <w:pPr>
        <w:pStyle w:val="5"/>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p>
    <w:p w14:paraId="0AD97B54">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fldChar w:fldCharType="end"/>
      </w:r>
    </w:p>
    <w:p w14:paraId="09185FCB">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fldChar w:fldCharType="end"/>
      </w:r>
    </w:p>
    <w:p w14:paraId="7993CEF5">
      <w:pPr>
        <w:pStyle w:val="5"/>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32"/>
          <w:szCs w:val="32"/>
        </w:rPr>
      </w:pPr>
      <w:r>
        <w:rPr>
          <w:rFonts w:hint="eastAsia" w:ascii="仿宋" w:hAnsi="仿宋" w:eastAsia="仿宋" w:cs="仿宋"/>
          <w:bCs/>
          <w:color w:val="000000"/>
          <w:sz w:val="32"/>
          <w:szCs w:val="32"/>
          <w:highlight w:val="none"/>
        </w:rPr>
        <w:t>十一、其他重要事项情况说明</w:t>
      </w:r>
    </w:p>
    <w:p w14:paraId="332E64DD">
      <w:pPr>
        <w:pStyle w:val="4"/>
        <w:numPr>
          <w:ilvl w:val="0"/>
          <w:numId w:val="0"/>
        </w:numPr>
        <w:ind w:left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第四部分</w:t>
      </w:r>
      <w:r>
        <w:rPr>
          <w:rFonts w:hint="eastAsia" w:ascii="黑体" w:hAnsi="黑体" w:eastAsia="黑体" w:cs="黑体"/>
          <w:b w:val="0"/>
          <w:bCs w:val="0"/>
          <w:sz w:val="32"/>
          <w:szCs w:val="32"/>
        </w:rPr>
        <w:t xml:space="preserve">   名词解释</w:t>
      </w:r>
    </w:p>
    <w:p w14:paraId="7462CB17">
      <w:pPr>
        <w:pStyle w:val="4"/>
        <w:ind w:left="1320" w:firstLine="0" w:firstLineChars="0"/>
        <w:jc w:val="left"/>
        <w:rPr>
          <w:rFonts w:hint="eastAsia" w:ascii="黑体" w:eastAsia="黑体"/>
          <w:sz w:val="32"/>
          <w:szCs w:val="32"/>
        </w:rPr>
      </w:pPr>
    </w:p>
    <w:p w14:paraId="03566981">
      <w:pPr>
        <w:pStyle w:val="4"/>
        <w:ind w:left="1320" w:firstLine="0" w:firstLineChars="0"/>
        <w:jc w:val="left"/>
        <w:rPr>
          <w:rFonts w:hint="eastAsia" w:ascii="黑体" w:eastAsia="黑体"/>
          <w:sz w:val="32"/>
          <w:szCs w:val="32"/>
        </w:rPr>
      </w:pPr>
    </w:p>
    <w:p w14:paraId="13D86F3E">
      <w:pPr>
        <w:pStyle w:val="4"/>
        <w:ind w:left="1320" w:firstLine="0" w:firstLineChars="0"/>
        <w:jc w:val="left"/>
        <w:rPr>
          <w:rFonts w:hint="eastAsia" w:ascii="黑体" w:eastAsia="黑体"/>
          <w:sz w:val="32"/>
          <w:szCs w:val="32"/>
        </w:rPr>
      </w:pPr>
    </w:p>
    <w:p w14:paraId="3D47D158">
      <w:pPr>
        <w:pStyle w:val="4"/>
        <w:ind w:left="1320" w:firstLine="0" w:firstLineChars="0"/>
        <w:jc w:val="left"/>
        <w:rPr>
          <w:rFonts w:hint="eastAsia" w:ascii="黑体" w:eastAsia="黑体"/>
          <w:sz w:val="32"/>
          <w:szCs w:val="32"/>
        </w:rPr>
      </w:pPr>
    </w:p>
    <w:p w14:paraId="668158B2">
      <w:pPr>
        <w:pStyle w:val="4"/>
        <w:ind w:left="1320" w:firstLine="0" w:firstLineChars="0"/>
        <w:jc w:val="left"/>
        <w:rPr>
          <w:rFonts w:hint="eastAsia" w:ascii="黑体" w:eastAsia="黑体"/>
          <w:sz w:val="32"/>
          <w:szCs w:val="32"/>
        </w:rPr>
      </w:pPr>
    </w:p>
    <w:p w14:paraId="3FFBF58E">
      <w:pPr>
        <w:ind w:firstLine="320" w:firstLineChars="100"/>
        <w:jc w:val="center"/>
        <w:rPr>
          <w:rFonts w:hint="eastAsia" w:ascii="仿宋_GB2312" w:eastAsia="仿宋_GB2312" w:cs="仿宋_GB2312"/>
          <w:sz w:val="32"/>
          <w:szCs w:val="32"/>
        </w:rPr>
      </w:pPr>
      <w:bookmarkStart w:id="0" w:name="_Toc10049_WPSOffice_Level1"/>
      <w:bookmarkStart w:id="1" w:name="_Toc10720_WPSOffice_Level1"/>
      <w:bookmarkStart w:id="2" w:name="_Toc23465_WPSOffice_Level1"/>
      <w:bookmarkStart w:id="3" w:name="_Toc22941_WPSOffice_Level1"/>
      <w:bookmarkStart w:id="4" w:name="_Toc32433_WPSOffice_Level1"/>
      <w:bookmarkStart w:id="5" w:name="_Toc1704_WPSOffice_Level1"/>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w:t>
      </w:r>
      <w:r>
        <w:rPr>
          <w:rFonts w:hint="eastAsia" w:ascii="黑体" w:hAnsi="ˎ̥" w:eastAsia="黑体"/>
          <w:b w:val="0"/>
          <w:bCs w:val="0"/>
          <w:sz w:val="32"/>
          <w:szCs w:val="32"/>
          <w:lang w:val="en-US" w:eastAsia="zh-CN"/>
        </w:rPr>
        <w:t>临高县科学技术协会</w:t>
      </w:r>
      <w:r>
        <w:rPr>
          <w:rFonts w:hint="eastAsia" w:ascii="黑体" w:hAnsi="ˎ̥" w:eastAsia="黑体"/>
          <w:sz w:val="32"/>
          <w:szCs w:val="32"/>
        </w:rPr>
        <w:t>部门概况</w:t>
      </w:r>
      <w:bookmarkEnd w:id="0"/>
      <w:bookmarkEnd w:id="1"/>
      <w:bookmarkEnd w:id="2"/>
      <w:bookmarkEnd w:id="3"/>
      <w:bookmarkEnd w:id="4"/>
      <w:bookmarkEnd w:id="5"/>
    </w:p>
    <w:p w14:paraId="4AB436D2">
      <w:pPr>
        <w:pStyle w:val="4"/>
        <w:numPr>
          <w:ilvl w:val="0"/>
          <w:numId w:val="0"/>
        </w:numPr>
        <w:jc w:val="left"/>
        <w:rPr>
          <w:rFonts w:hint="eastAsia" w:ascii="楷体" w:hAnsi="楷体" w:eastAsia="楷体" w:cs="楷体"/>
          <w:sz w:val="32"/>
          <w:szCs w:val="32"/>
          <w:lang w:eastAsia="zh-CN"/>
        </w:rPr>
      </w:pPr>
    </w:p>
    <w:p w14:paraId="59F07D46">
      <w:pPr>
        <w:pStyle w:val="4"/>
        <w:numPr>
          <w:ilvl w:val="0"/>
          <w:numId w:val="0"/>
        </w:numPr>
        <w:jc w:val="left"/>
        <w:rPr>
          <w:rFonts w:hint="default"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黑体" w:hAnsi="黑体" w:eastAsia="黑体"/>
          <w:sz w:val="32"/>
          <w:szCs w:val="32"/>
        </w:rPr>
        <w:t>主要职能</w:t>
      </w:r>
    </w:p>
    <w:p w14:paraId="6DA88898">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(一）贯彻执行党中央和国家有关科技工作方针政策、法律规定，执行县委、县政府决策部署和中国（海南）自由贸易试验区、中国特色自由贸易港政策措施。</w:t>
      </w:r>
    </w:p>
    <w:p w14:paraId="38EA1F41">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(二）负责组织实施全县全民科学素质行动计划纲要工作。</w:t>
      </w:r>
    </w:p>
    <w:p w14:paraId="4AA43FDD">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(三）负责全县青少年科技教育工作。</w:t>
      </w:r>
    </w:p>
    <w:p w14:paraId="198514A1">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(四）组织农村实用技术培训，培养各类农村实用技术人才。</w:t>
      </w:r>
    </w:p>
    <w:p w14:paraId="11854C30">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(五）负责组织全县科技辅导员培训工作。</w:t>
      </w:r>
    </w:p>
    <w:p w14:paraId="2EEDAC52">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(六）负责组织推荐全县优秀科技工作者的评选工作。</w:t>
      </w:r>
    </w:p>
    <w:p w14:paraId="5D0D402B">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(七）负责组织推荐全县农技协、科普示范村、科普示范学校、科普示范社区、科普示范基地、科普带头人参加全国、省基层科普行动计划的评选工作。</w:t>
      </w:r>
    </w:p>
    <w:p w14:paraId="6CDCC52A">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(八）依照《中华人民共和国科学技术普及法》广泛开展科技普及工作，普及科学技术知识，倡导科学方法、传播科学思想、弘扬科学精神，提高全民科学文化素质。</w:t>
      </w:r>
    </w:p>
    <w:p w14:paraId="0DDFA9B8">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(九）开展学术交流和学术活动，活跃学术思想，促进科学发展。代表全县科技工作者参政议政，参与社会主义民主政治建设，参与科技政策、法规的制定。</w:t>
      </w:r>
    </w:p>
    <w:p w14:paraId="447EAE2A">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(十）反映科技工作者的建议、意见和要求，维护科技工作者的合法权益，组织科技工作者参与科技政策、规划的制定。</w:t>
      </w:r>
    </w:p>
    <w:p w14:paraId="04F4469B">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(十一）推广先进科学技术，促进科学技术成果转化，组织学术机构与企业的协作，开展科学技术咨询活动，推动科学技术进步。</w:t>
      </w:r>
    </w:p>
    <w:p w14:paraId="787D170F">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jc w:val="left"/>
        <w:textAlignment w:val="auto"/>
        <w:rPr>
          <w:rFonts w:hint="eastAsia" w:ascii="仿宋" w:hAnsi="仿宋" w:eastAsia="仿宋" w:cs="仿宋"/>
          <w:color w:val="FF0000"/>
          <w:sz w:val="32"/>
          <w:szCs w:val="32"/>
        </w:rPr>
      </w:pPr>
      <w:r>
        <w:rPr>
          <w:rFonts w:hint="eastAsia" w:ascii="仿宋" w:hAnsi="仿宋" w:eastAsia="仿宋" w:cs="仿宋"/>
          <w:color w:val="000000"/>
          <w:sz w:val="32"/>
          <w:szCs w:val="32"/>
        </w:rPr>
        <w:t>(十二）承担县委、县政府和上级部门交办的其他工作。</w:t>
      </w:r>
    </w:p>
    <w:p w14:paraId="4A84ADE9">
      <w:pPr>
        <w:ind w:firstLine="640" w:firstLineChars="200"/>
        <w:rPr>
          <w:rFonts w:hint="eastAsia" w:ascii="楷体" w:hAnsi="楷体" w:eastAsia="楷体" w:cs="楷体"/>
          <w:sz w:val="32"/>
          <w:szCs w:val="32"/>
          <w:lang w:val="en-US" w:eastAsia="zh-CN"/>
        </w:rPr>
      </w:pPr>
      <w:bookmarkStart w:id="6" w:name="_Toc17796_WPSOffice_Level2"/>
      <w:bookmarkStart w:id="7" w:name="_Toc4833_WPSOffice_Level2"/>
      <w:bookmarkStart w:id="8" w:name="_Toc24474_WPSOffice_Level2"/>
      <w:bookmarkStart w:id="9" w:name="_Toc6572_WPSOffice_Level2"/>
      <w:bookmarkStart w:id="10" w:name="_Toc24059_WPSOffice_Level2"/>
      <w:r>
        <w:rPr>
          <w:rFonts w:hint="eastAsia" w:ascii="楷体" w:hAnsi="楷体" w:eastAsia="楷体" w:cs="楷体"/>
          <w:sz w:val="32"/>
          <w:szCs w:val="32"/>
          <w:lang w:eastAsia="zh-CN"/>
        </w:rPr>
        <w:t>二、</w:t>
      </w:r>
      <w:bookmarkEnd w:id="6"/>
      <w:bookmarkEnd w:id="7"/>
      <w:bookmarkEnd w:id="8"/>
      <w:bookmarkEnd w:id="9"/>
      <w:bookmarkEnd w:id="10"/>
      <w:r>
        <w:rPr>
          <w:rFonts w:hint="eastAsia" w:ascii="黑体" w:hAnsi="黑体" w:eastAsia="黑体" w:cs="仿宋_GB2312"/>
          <w:sz w:val="32"/>
          <w:szCs w:val="32"/>
        </w:rPr>
        <w:t>部门预算单位构成</w:t>
      </w:r>
    </w:p>
    <w:p w14:paraId="16C1AB26">
      <w:pPr>
        <w:ind w:firstLine="640" w:firstLineChars="200"/>
        <w:rPr>
          <w:rFonts w:hint="eastAsia" w:ascii="仿宋_GB2312" w:hAnsi="ˎ̥" w:eastAsia="仿宋_GB2312"/>
          <w:sz w:val="32"/>
          <w:szCs w:val="32"/>
        </w:rPr>
      </w:pPr>
      <w:r>
        <w:rPr>
          <w:rFonts w:hint="eastAsia" w:ascii="仿宋_GB2312" w:hAnsi="ˎ̥" w:eastAsia="仿宋_GB2312"/>
          <w:sz w:val="32"/>
          <w:szCs w:val="32"/>
        </w:rPr>
        <w:t>纳入</w:t>
      </w:r>
      <w:r>
        <w:rPr>
          <w:rFonts w:hint="eastAsia" w:ascii="仿宋_GB2312" w:hAnsi="ˎ̥" w:eastAsia="仿宋_GB2312"/>
          <w:sz w:val="32"/>
          <w:szCs w:val="32"/>
          <w:lang w:val="en-US" w:eastAsia="zh-CN"/>
        </w:rPr>
        <w:t>临高科学技术协会</w:t>
      </w:r>
      <w:r>
        <w:rPr>
          <w:rFonts w:hint="eastAsia" w:ascii="仿宋_GB2312" w:hAnsi="ˎ̥" w:eastAsia="仿宋_GB2312"/>
          <w:sz w:val="32"/>
          <w:szCs w:val="32"/>
        </w:rPr>
        <w:t>部门</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年度</w:t>
      </w:r>
      <w:r>
        <w:rPr>
          <w:rFonts w:hint="eastAsia" w:ascii="仿宋_GB2312" w:hAnsi="ˎ̥" w:eastAsia="仿宋_GB2312"/>
          <w:sz w:val="32"/>
          <w:szCs w:val="32"/>
        </w:rPr>
        <w:t>部门</w:t>
      </w:r>
      <w:r>
        <w:rPr>
          <w:rFonts w:hint="eastAsia" w:ascii="仿宋_GB2312" w:hAnsi="ˎ̥" w:eastAsia="仿宋_GB2312"/>
          <w:sz w:val="32"/>
          <w:szCs w:val="32"/>
          <w:lang w:val="en-US" w:eastAsia="zh-CN"/>
        </w:rPr>
        <w:t>预</w:t>
      </w:r>
      <w:r>
        <w:rPr>
          <w:rFonts w:hint="eastAsia" w:ascii="仿宋_GB2312" w:hAnsi="ˎ̥" w:eastAsia="仿宋_GB2312"/>
          <w:sz w:val="32"/>
          <w:szCs w:val="32"/>
        </w:rPr>
        <w:t>算编制范围的二级预算单位包括：</w:t>
      </w:r>
    </w:p>
    <w:p w14:paraId="7F3F689E">
      <w:pPr>
        <w:numPr>
          <w:ilvl w:val="0"/>
          <w:numId w:val="2"/>
        </w:numPr>
        <w:ind w:firstLine="640" w:firstLineChars="200"/>
        <w:rPr>
          <w:rFonts w:hint="eastAsia" w:ascii="楷体" w:hAnsi="楷体" w:eastAsia="楷体" w:cs="楷体"/>
          <w:sz w:val="32"/>
          <w:szCs w:val="32"/>
        </w:rPr>
      </w:pPr>
      <w:bookmarkStart w:id="11" w:name="_Toc24421_WPSOffice_Level2"/>
      <w:bookmarkStart w:id="12" w:name="_Toc25738_WPSOffice_Level2"/>
      <w:r>
        <w:rPr>
          <w:rFonts w:hint="eastAsia" w:ascii="楷体" w:hAnsi="楷体" w:eastAsia="楷体" w:cs="楷体"/>
          <w:sz w:val="32"/>
          <w:szCs w:val="32"/>
          <w:lang w:val="en-US" w:eastAsia="zh-CN"/>
        </w:rPr>
        <w:t>临高县科学技术协会</w:t>
      </w:r>
      <w:r>
        <w:rPr>
          <w:rFonts w:hint="eastAsia" w:ascii="楷体" w:hAnsi="楷体" w:eastAsia="楷体" w:cs="楷体"/>
          <w:sz w:val="32"/>
          <w:szCs w:val="32"/>
        </w:rPr>
        <w:t>部门本级</w:t>
      </w:r>
      <w:bookmarkEnd w:id="11"/>
      <w:bookmarkEnd w:id="12"/>
    </w:p>
    <w:p w14:paraId="32265AC9">
      <w:pPr>
        <w:numPr>
          <w:ilvl w:val="0"/>
          <w:numId w:val="2"/>
        </w:numPr>
        <w:ind w:firstLine="640" w:firstLineChars="200"/>
        <w:rPr>
          <w:rFonts w:hint="eastAsia" w:ascii="仿宋_GB2312" w:eastAsia="仿宋_GB2312" w:cs="仿宋_GB2312"/>
          <w:sz w:val="32"/>
          <w:szCs w:val="32"/>
        </w:rPr>
      </w:pPr>
      <w:r>
        <w:rPr>
          <w:rFonts w:hint="eastAsia" w:ascii="楷体" w:hAnsi="楷体" w:eastAsia="楷体" w:cs="楷体"/>
          <w:sz w:val="32"/>
          <w:szCs w:val="32"/>
          <w:lang w:val="en-US" w:eastAsia="zh-CN"/>
        </w:rPr>
        <w:t>无</w:t>
      </w:r>
    </w:p>
    <w:p w14:paraId="7CAA7F4F">
      <w:pPr>
        <w:tabs>
          <w:tab w:val="left" w:pos="1091"/>
          <w:tab w:val="center" w:pos="4614"/>
        </w:tabs>
        <w:jc w:val="left"/>
        <w:rPr>
          <w:rFonts w:hint="eastAsia" w:ascii="黑体" w:eastAsia="黑体"/>
          <w:sz w:val="32"/>
          <w:szCs w:val="32"/>
        </w:rPr>
      </w:pPr>
      <w:r>
        <w:rPr>
          <w:rFonts w:hint="eastAsia" w:ascii="黑体" w:eastAsia="黑体"/>
          <w:sz w:val="32"/>
          <w:szCs w:val="32"/>
          <w:lang w:val="en-US" w:eastAsia="zh-CN"/>
        </w:rPr>
        <w:t>第二部分</w:t>
      </w:r>
      <w:r>
        <w:rPr>
          <w:rFonts w:hint="eastAsia" w:ascii="黑体" w:eastAsia="黑体"/>
          <w:sz w:val="32"/>
          <w:szCs w:val="32"/>
          <w:lang w:eastAsia="zh-CN"/>
        </w:rPr>
        <w:tab/>
      </w:r>
      <w:r>
        <w:rPr>
          <w:rFonts w:hint="eastAsia" w:ascii="黑体" w:eastAsia="黑体"/>
          <w:sz w:val="32"/>
          <w:szCs w:val="32"/>
        </w:rPr>
        <w:t xml:space="preserve"> </w:t>
      </w:r>
      <w:r>
        <w:rPr>
          <w:rFonts w:hint="eastAsia" w:ascii="仿宋_GB2312" w:eastAsia="仿宋_GB2312" w:cs="仿宋_GB2312"/>
          <w:sz w:val="32"/>
          <w:szCs w:val="32"/>
        </w:rPr>
        <w:t xml:space="preserve"> </w:t>
      </w:r>
      <w:r>
        <w:rPr>
          <w:rFonts w:hint="eastAsia" w:ascii="仿宋_GB2312" w:eastAsia="仿宋_GB2312" w:cs="仿宋_GB2312"/>
          <w:b/>
          <w:sz w:val="32"/>
          <w:szCs w:val="32"/>
        </w:rPr>
        <w:t>临高县科学技术协会</w:t>
      </w:r>
      <w:r>
        <w:rPr>
          <w:rFonts w:hint="eastAsia" w:ascii="仿宋_GB2312" w:eastAsia="仿宋_GB2312" w:cs="仿宋_GB2312"/>
          <w:b/>
          <w:sz w:val="32"/>
          <w:szCs w:val="32"/>
          <w:lang w:eastAsia="zh-CN"/>
        </w:rPr>
        <w:t>202</w:t>
      </w:r>
      <w:r>
        <w:rPr>
          <w:rFonts w:hint="eastAsia" w:ascii="仿宋_GB2312" w:eastAsia="仿宋_GB2312" w:cs="仿宋_GB2312"/>
          <w:b/>
          <w:sz w:val="32"/>
          <w:szCs w:val="32"/>
          <w:lang w:val="en-US" w:eastAsia="zh-CN"/>
        </w:rPr>
        <w:t>3</w:t>
      </w:r>
      <w:r>
        <w:rPr>
          <w:rFonts w:hint="eastAsia" w:ascii="黑体" w:eastAsia="黑体"/>
          <w:sz w:val="32"/>
          <w:szCs w:val="32"/>
        </w:rPr>
        <w:t>年部门</w:t>
      </w:r>
      <w:r>
        <w:rPr>
          <w:rFonts w:hint="eastAsia" w:ascii="黑体" w:eastAsia="黑体"/>
          <w:sz w:val="32"/>
          <w:szCs w:val="32"/>
          <w:lang w:val="en-US" w:eastAsia="zh-CN"/>
        </w:rPr>
        <w:t>决</w:t>
      </w:r>
      <w:r>
        <w:rPr>
          <w:rFonts w:hint="eastAsia" w:ascii="黑体" w:eastAsia="黑体"/>
          <w:sz w:val="32"/>
          <w:szCs w:val="32"/>
        </w:rPr>
        <w:t>算表</w:t>
      </w:r>
    </w:p>
    <w:p w14:paraId="5EE582A5">
      <w:pPr>
        <w:tabs>
          <w:tab w:val="left" w:pos="1091"/>
          <w:tab w:val="center" w:pos="4614"/>
        </w:tabs>
        <w:jc w:val="left"/>
        <w:rPr>
          <w:rFonts w:hint="eastAsia" w:ascii="黑体" w:eastAsia="黑体"/>
          <w:sz w:val="32"/>
          <w:szCs w:val="32"/>
        </w:rPr>
      </w:pPr>
    </w:p>
    <w:p w14:paraId="733AEAA0">
      <w:pPr>
        <w:ind w:left="800"/>
        <w:jc w:val="center"/>
        <w:rPr>
          <w:rFonts w:hint="eastAsia" w:ascii="仿宋_GB2312" w:eastAsia="仿宋_GB2312"/>
          <w:b/>
          <w:sz w:val="32"/>
          <w:szCs w:val="32"/>
        </w:rPr>
      </w:pPr>
      <w:r>
        <w:rPr>
          <w:rFonts w:hint="eastAsia" w:ascii="仿宋_GB2312" w:eastAsia="仿宋_GB2312"/>
          <w:b/>
          <w:sz w:val="32"/>
          <w:szCs w:val="32"/>
        </w:rPr>
        <w:t>（此部分内容即为部门</w:t>
      </w:r>
      <w:r>
        <w:rPr>
          <w:rFonts w:hint="eastAsia" w:ascii="仿宋_GB2312" w:eastAsia="仿宋_GB2312"/>
          <w:b/>
          <w:sz w:val="32"/>
          <w:szCs w:val="32"/>
          <w:lang w:val="en-US" w:eastAsia="zh-CN"/>
        </w:rPr>
        <w:t>决</w:t>
      </w:r>
      <w:r>
        <w:rPr>
          <w:rFonts w:hint="eastAsia" w:ascii="仿宋_GB2312" w:eastAsia="仿宋_GB2312"/>
          <w:b/>
          <w:sz w:val="32"/>
          <w:szCs w:val="32"/>
        </w:rPr>
        <w:t>算公开表）</w:t>
      </w:r>
    </w:p>
    <w:p w14:paraId="7BB9B5EF">
      <w:pPr>
        <w:ind w:left="800"/>
        <w:jc w:val="center"/>
        <w:rPr>
          <w:rFonts w:hint="eastAsia" w:ascii="仿宋_GB2312" w:eastAsia="仿宋_GB2312"/>
          <w:b/>
          <w:sz w:val="32"/>
          <w:szCs w:val="32"/>
        </w:rPr>
      </w:pPr>
    </w:p>
    <w:p w14:paraId="36F2CE9D">
      <w:pP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临高县科学技术协会</w:t>
      </w:r>
      <w:r>
        <w:rPr>
          <w:rFonts w:hint="eastAsia" w:ascii="仿宋_GB2312" w:eastAsia="仿宋_GB2312" w:cs="仿宋_GB2312"/>
          <w:b/>
          <w:sz w:val="32"/>
          <w:szCs w:val="32"/>
          <w:lang w:eastAsia="zh-CN"/>
        </w:rPr>
        <w:t>202</w:t>
      </w:r>
      <w:r>
        <w:rPr>
          <w:rFonts w:hint="eastAsia" w:ascii="仿宋_GB2312" w:eastAsia="仿宋_GB2312" w:cs="仿宋_GB2312"/>
          <w:b/>
          <w:sz w:val="32"/>
          <w:szCs w:val="32"/>
          <w:lang w:val="en-US" w:eastAsia="zh-CN"/>
        </w:rPr>
        <w:t>3</w:t>
      </w:r>
      <w:r>
        <w:rPr>
          <w:rFonts w:hint="eastAsia" w:ascii="黑体" w:eastAsia="黑体"/>
          <w:sz w:val="32"/>
          <w:szCs w:val="32"/>
        </w:rPr>
        <w:t>年部门</w:t>
      </w:r>
      <w:r>
        <w:rPr>
          <w:rFonts w:hint="eastAsia" w:ascii="黑体" w:hAnsi="黑体" w:eastAsia="黑体"/>
          <w:sz w:val="32"/>
          <w:szCs w:val="32"/>
          <w:lang w:val="en-US" w:eastAsia="zh-CN"/>
        </w:rPr>
        <w:t>决</w:t>
      </w:r>
      <w:r>
        <w:rPr>
          <w:rFonts w:hint="eastAsia" w:ascii="黑体" w:hAnsi="黑体" w:eastAsia="黑体"/>
          <w:sz w:val="32"/>
          <w:szCs w:val="32"/>
        </w:rPr>
        <w:t>算情况说明</w:t>
      </w:r>
    </w:p>
    <w:p w14:paraId="568CAF5C">
      <w:pPr>
        <w:numPr>
          <w:ilvl w:val="0"/>
          <w:numId w:val="0"/>
        </w:numPr>
        <w:jc w:val="both"/>
        <w:rPr>
          <w:rFonts w:hint="eastAsia" w:ascii="黑体" w:eastAsia="黑体"/>
          <w:sz w:val="32"/>
          <w:szCs w:val="32"/>
        </w:rPr>
      </w:pPr>
    </w:p>
    <w:p w14:paraId="62C50B8E">
      <w:pPr>
        <w:ind w:firstLine="570"/>
        <w:rPr>
          <w:rFonts w:hint="default" w:ascii="仿宋_GB2312" w:hAnsi="Times New Roman" w:eastAsia="仿宋_GB2312"/>
          <w:color w:val="000000" w:themeColor="text1"/>
          <w:sz w:val="32"/>
          <w:szCs w:val="32"/>
          <w:lang w:val="en-US"/>
          <w14:textFill>
            <w14:solidFill>
              <w14:schemeClr w14:val="tx1"/>
            </w14:solidFill>
          </w14:textFill>
        </w:rPr>
      </w:pPr>
      <w:r>
        <w:rPr>
          <w:rFonts w:hint="default" w:ascii="楷体" w:hAnsi="楷体" w:eastAsia="楷体" w:cs="楷体"/>
          <w:bCs/>
          <w:color w:val="000000" w:themeColor="text1"/>
          <w:sz w:val="32"/>
          <w:szCs w:val="32"/>
          <w:lang w:val="en-US"/>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一</w:t>
      </w:r>
      <w:r>
        <w:rPr>
          <w:rFonts w:hint="default" w:ascii="楷体" w:hAnsi="楷体" w:eastAsia="楷体" w:cs="楷体"/>
          <w:bCs/>
          <w:color w:val="000000" w:themeColor="text1"/>
          <w:sz w:val="32"/>
          <w:szCs w:val="32"/>
          <w:lang w:val="en-US"/>
          <w14:textFill>
            <w14:solidFill>
              <w14:schemeClr w14:val="tx1"/>
            </w14:solidFill>
          </w14:textFill>
        </w:rPr>
        <w:t>）总收支。</w:t>
      </w:r>
      <w:r>
        <w:rPr>
          <w:rFonts w:hint="default" w:ascii="仿宋_GB2312" w:hAnsi="Times New Roman" w:eastAsia="仿宋_GB2312"/>
          <w:color w:val="000000" w:themeColor="text1"/>
          <w:sz w:val="32"/>
          <w:szCs w:val="32"/>
          <w:lang w:val="en-US"/>
          <w14:textFill>
            <w14:solidFill>
              <w14:schemeClr w14:val="tx1"/>
            </w14:solidFill>
          </w14:textFill>
        </w:rPr>
        <w:t>2023年度本年收入139.27万元，使用非财政拨款结余0.00万元，年初结转和结余 1.58万元；本年支出122.45万元，结余分配0.00万元，年末结转和结余18.40万元。（见财决公开01表）</w:t>
      </w:r>
    </w:p>
    <w:p w14:paraId="5886EC51">
      <w:pPr>
        <w:numPr>
          <w:ilvl w:val="0"/>
          <w:numId w:val="0"/>
        </w:numPr>
        <w:ind w:firstLine="640" w:firstLineChars="200"/>
        <w:rPr>
          <w:rFonts w:hint="default" w:ascii="仿宋_GB2312" w:hAnsi="Times New Roman" w:eastAsia="仿宋_GB2312"/>
          <w:color w:val="000000" w:themeColor="text1"/>
          <w:sz w:val="32"/>
          <w:szCs w:val="32"/>
          <w:lang w:val="en-US"/>
          <w14:textFill>
            <w14:solidFill>
              <w14:schemeClr w14:val="tx1"/>
            </w14:solidFill>
          </w14:textFill>
        </w:rPr>
      </w:pPr>
      <w:r>
        <w:rPr>
          <w:rFonts w:hint="default" w:ascii="楷体" w:hAnsi="楷体" w:eastAsia="楷体" w:cs="楷体"/>
          <w:bCs/>
          <w:color w:val="000000" w:themeColor="text1"/>
          <w:sz w:val="32"/>
          <w:szCs w:val="32"/>
          <w:lang w:val="en-US"/>
          <w14:textFill>
            <w14:solidFill>
              <w14:schemeClr w14:val="tx1"/>
            </w14:solidFill>
          </w14:textFill>
        </w:rPr>
        <w:t>（</w:t>
      </w:r>
      <w:r>
        <w:rPr>
          <w:rFonts w:hint="eastAsia" w:ascii="楷体" w:hAnsi="楷体" w:eastAsia="楷体" w:cs="楷体"/>
          <w:bCs/>
          <w:color w:val="000000" w:themeColor="text1"/>
          <w:sz w:val="32"/>
          <w:szCs w:val="32"/>
          <w:lang w:val="en-US" w:eastAsia="zh-CN"/>
          <w14:textFill>
            <w14:solidFill>
              <w14:schemeClr w14:val="tx1"/>
            </w14:solidFill>
          </w14:textFill>
        </w:rPr>
        <w:t>二</w:t>
      </w:r>
      <w:r>
        <w:rPr>
          <w:rFonts w:hint="default" w:ascii="楷体" w:hAnsi="楷体" w:eastAsia="楷体" w:cs="楷体"/>
          <w:bCs/>
          <w:color w:val="000000" w:themeColor="text1"/>
          <w:sz w:val="32"/>
          <w:szCs w:val="32"/>
          <w:lang w:val="en-US"/>
          <w14:textFill>
            <w14:solidFill>
              <w14:schemeClr w14:val="tx1"/>
            </w14:solidFill>
          </w14:textFill>
        </w:rPr>
        <w:t>）一般公共预算财政拨款收支。</w:t>
      </w:r>
      <w:r>
        <w:rPr>
          <w:rFonts w:hint="default" w:ascii="仿宋_GB2312" w:hAnsi="Times New Roman" w:eastAsia="仿宋_GB2312"/>
          <w:color w:val="000000" w:themeColor="text1"/>
          <w:sz w:val="32"/>
          <w:szCs w:val="32"/>
          <w:lang w:val="en-US"/>
          <w14:textFill>
            <w14:solidFill>
              <w14:schemeClr w14:val="tx1"/>
            </w14:solidFill>
          </w14:textFill>
        </w:rPr>
        <w:t>2023年度一般公共预算财政拨款年初结转和结余0.00万元，本年收入112.48万元，本年支出112.48 万元，年末结转和结余0.00万元。（见财决公开05表）</w:t>
      </w:r>
    </w:p>
    <w:p w14:paraId="682463AD">
      <w:pPr>
        <w:widowControl w:val="0"/>
        <w:numPr>
          <w:ilvl w:val="0"/>
          <w:numId w:val="0"/>
        </w:numPr>
        <w:ind w:firstLine="480" w:firstLineChars="150"/>
        <w:jc w:val="both"/>
        <w:rPr>
          <w:rFonts w:hint="default" w:ascii="仿宋_GB2312" w:hAnsi="Times New Roman" w:eastAsia="仿宋_GB2312"/>
          <w:color w:val="000000" w:themeColor="text1"/>
          <w:sz w:val="32"/>
          <w:szCs w:val="32"/>
          <w:lang w:val="en-US"/>
          <w14:textFill>
            <w14:solidFill>
              <w14:schemeClr w14:val="tx1"/>
            </w14:solidFill>
          </w14:textFill>
        </w:rPr>
      </w:pPr>
      <w:r>
        <w:rPr>
          <w:rFonts w:hint="default" w:ascii="楷体" w:hAnsi="楷体" w:eastAsia="楷体" w:cs="楷体"/>
          <w:bCs/>
          <w:color w:val="000000" w:themeColor="text1"/>
          <w:sz w:val="32"/>
          <w:szCs w:val="32"/>
          <w:lang w:val="en-US"/>
          <w14:textFill>
            <w14:solidFill>
              <w14:schemeClr w14:val="tx1"/>
            </w14:solidFill>
          </w14:textFill>
        </w:rPr>
        <w:t>（三）政府性基金预算财政拨款收支。</w:t>
      </w:r>
      <w:r>
        <w:rPr>
          <w:rFonts w:hint="default" w:ascii="仿宋_GB2312" w:hAnsi="Times New Roman" w:eastAsia="仿宋_GB2312"/>
          <w:color w:val="000000" w:themeColor="text1"/>
          <w:sz w:val="32"/>
          <w:szCs w:val="32"/>
          <w:lang w:val="en-US"/>
          <w14:textFill>
            <w14:solidFill>
              <w14:schemeClr w14:val="tx1"/>
            </w14:solidFill>
          </w14:textFill>
        </w:rPr>
        <w:t>2023年度政府性基金预算财政拨款年初结转和结余0.00万元，本年收入0.00万元，本年支出0.00万元，年末结转和结余0.00万元。（见财决公开04表）</w:t>
      </w:r>
    </w:p>
    <w:p w14:paraId="0EFDFD9F">
      <w:pPr>
        <w:widowControl w:val="0"/>
        <w:numPr>
          <w:ilvl w:val="0"/>
          <w:numId w:val="0"/>
        </w:numPr>
        <w:ind w:firstLine="480" w:firstLineChars="150"/>
        <w:jc w:val="both"/>
        <w:rPr>
          <w:rFonts w:hint="default" w:ascii="仿宋_GB2312" w:hAnsi="Times New Roman" w:eastAsia="仿宋_GB2312"/>
          <w:color w:val="000000" w:themeColor="text1"/>
          <w:sz w:val="32"/>
          <w:szCs w:val="32"/>
          <w:lang w:val="en-US"/>
          <w14:textFill>
            <w14:solidFill>
              <w14:schemeClr w14:val="tx1"/>
            </w14:solidFill>
          </w14:textFill>
        </w:rPr>
      </w:pPr>
      <w:r>
        <w:rPr>
          <w:rFonts w:hint="default" w:ascii="楷体" w:hAnsi="楷体" w:eastAsia="楷体" w:cs="楷体"/>
          <w:bCs/>
          <w:color w:val="000000" w:themeColor="text1"/>
          <w:sz w:val="32"/>
          <w:szCs w:val="32"/>
          <w:lang w:val="en-US"/>
          <w14:textFill>
            <w14:solidFill>
              <w14:schemeClr w14:val="tx1"/>
            </w14:solidFill>
          </w14:textFill>
        </w:rPr>
        <w:t>（四）国有资本经营预算财政拨款收支。</w:t>
      </w:r>
      <w:r>
        <w:rPr>
          <w:rFonts w:hint="default" w:ascii="仿宋_GB2312" w:hAnsi="Times New Roman" w:eastAsia="仿宋_GB2312"/>
          <w:color w:val="000000" w:themeColor="text1"/>
          <w:sz w:val="32"/>
          <w:szCs w:val="32"/>
          <w:lang w:val="en-US"/>
          <w14:textFill>
            <w14:solidFill>
              <w14:schemeClr w14:val="tx1"/>
            </w14:solidFill>
          </w14:textFill>
        </w:rPr>
        <w:t>2023年度国有资本经营预算财政拨款年初结转和结余0.00万元，本年收入0.00万元，本年支出0.00万元，年末结转和结余0.00万元。（见财决公开08表）</w:t>
      </w:r>
    </w:p>
    <w:p w14:paraId="0A157288">
      <w:pPr>
        <w:widowControl w:val="0"/>
        <w:numPr>
          <w:ilvl w:val="0"/>
          <w:numId w:val="0"/>
        </w:numPr>
        <w:ind w:firstLine="480" w:firstLineChars="150"/>
        <w:jc w:val="both"/>
        <w:rPr>
          <w:rFonts w:ascii="黑体" w:hAnsi="黑体" w:eastAsia="黑体"/>
          <w:sz w:val="32"/>
          <w:szCs w:val="32"/>
        </w:rPr>
      </w:pPr>
      <w:r>
        <w:rPr>
          <w:rFonts w:hint="default" w:ascii="楷体" w:hAnsi="楷体" w:eastAsia="楷体" w:cs="楷体"/>
          <w:bCs/>
          <w:color w:val="000000" w:themeColor="text1"/>
          <w:sz w:val="32"/>
          <w:szCs w:val="32"/>
          <w:lang w:val="en-US"/>
          <w14:textFill>
            <w14:solidFill>
              <w14:schemeClr w14:val="tx1"/>
            </w14:solidFill>
          </w14:textFill>
        </w:rPr>
        <w:t>（五）财政拨款“三公”经费支出。</w:t>
      </w:r>
      <w:r>
        <w:rPr>
          <w:rFonts w:hint="default" w:ascii="仿宋_GB2312" w:hAnsi="Times New Roman" w:eastAsia="仿宋_GB2312"/>
          <w:color w:val="000000" w:themeColor="text1"/>
          <w:sz w:val="32"/>
          <w:szCs w:val="32"/>
          <w:lang w:val="en-US"/>
          <w14:textFill>
            <w14:solidFill>
              <w14:schemeClr w14:val="tx1"/>
            </w14:solidFill>
          </w14:textFill>
        </w:rPr>
        <w:t>2023年度支出合计数0.00万元，其中：因公出国（境）费支出0.00万元，公务接待费支出0.00万元，公务用车运行维护费支出0.00万元，公务用车购置费0.00万元。（见财决公开04表</w:t>
      </w:r>
      <w:bookmarkStart w:id="13" w:name="_GoBack"/>
      <w:bookmarkEnd w:id="13"/>
      <w:r>
        <w:rPr>
          <w:rFonts w:hint="default" w:ascii="仿宋_GB2312" w:hAnsi="Times New Roman" w:eastAsia="仿宋_GB2312"/>
          <w:color w:val="000000" w:themeColor="text1"/>
          <w:sz w:val="32"/>
          <w:szCs w:val="32"/>
          <w:lang w:val="en-US"/>
          <w14:textFill>
            <w14:solidFill>
              <w14:schemeClr w14:val="tx1"/>
            </w14:solidFill>
          </w14:textFill>
        </w:rPr>
        <w:t>）</w:t>
      </w:r>
    </w:p>
    <w:p w14:paraId="1A8F4C12">
      <w:pPr>
        <w:jc w:val="left"/>
        <w:rPr>
          <w:rFonts w:ascii="仿宋_GB2312" w:hAnsi="宋体" w:eastAsia="仿宋_GB2312" w:cs="宋体"/>
          <w:color w:val="000000"/>
          <w:kern w:val="0"/>
          <w:sz w:val="32"/>
          <w:szCs w:val="30"/>
        </w:rPr>
      </w:pPr>
    </w:p>
    <w:p w14:paraId="5E677811">
      <w:pPr>
        <w:jc w:val="center"/>
        <w:rPr>
          <w:rFonts w:ascii="黑体" w:hAnsi="黑体" w:eastAsia="黑体"/>
          <w:b/>
          <w:sz w:val="32"/>
          <w:szCs w:val="32"/>
        </w:rPr>
      </w:pPr>
      <w:r>
        <w:rPr>
          <w:rFonts w:hint="eastAsia" w:ascii="黑体" w:hAnsi="黑体" w:eastAsia="黑体"/>
          <w:b/>
          <w:sz w:val="32"/>
          <w:szCs w:val="32"/>
        </w:rPr>
        <w:t>第四部分  名词解释</w:t>
      </w:r>
    </w:p>
    <w:p w14:paraId="5425AD1C">
      <w:pPr>
        <w:ind w:firstLine="640" w:firstLineChars="200"/>
        <w:jc w:val="left"/>
        <w:rPr>
          <w:rFonts w:ascii="仿宋_GB2312" w:eastAsia="仿宋_GB2312" w:cs="宋体"/>
          <w:bCs/>
          <w:color w:val="000000"/>
          <w:kern w:val="0"/>
          <w:sz w:val="32"/>
          <w:szCs w:val="32"/>
          <w:lang w:val="zh-CN"/>
        </w:rPr>
      </w:pPr>
    </w:p>
    <w:p w14:paraId="7D614FB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4816CAB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063B41B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11FA45A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176736F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0702628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5E8B96B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6D192136">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14:paraId="09759C8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14:paraId="5320694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6F14119C">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14:paraId="65119240">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3E7DF248">
      <w:pPr>
        <w:numPr>
          <w:ilvl w:val="0"/>
          <w:numId w:val="0"/>
        </w:numPr>
        <w:jc w:val="both"/>
        <w:rPr>
          <w:rFonts w:hint="eastAsia" w:ascii="黑体" w:eastAsia="黑体"/>
          <w:sz w:val="32"/>
          <w:szCs w:val="32"/>
        </w:rPr>
      </w:pPr>
    </w:p>
    <w:p w14:paraId="2C6A0F4B">
      <w:pPr>
        <w:numPr>
          <w:ilvl w:val="0"/>
          <w:numId w:val="0"/>
        </w:numPr>
        <w:jc w:val="both"/>
        <w:rPr>
          <w:rFonts w:hint="eastAsia" w:ascii="黑体" w:eastAsia="黑体"/>
          <w:sz w:val="32"/>
          <w:szCs w:val="32"/>
        </w:rPr>
      </w:pPr>
    </w:p>
    <w:p w14:paraId="7599DF08">
      <w:pPr>
        <w:jc w:val="both"/>
        <w:rPr>
          <w:rFonts w:hint="eastAsia" w:ascii="黑体" w:hAnsi="黑体" w:eastAsia="黑体"/>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0EAE9"/>
    <w:multiLevelType w:val="singleLevel"/>
    <w:tmpl w:val="CBE0EAE9"/>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jYwYTRiMzYxMzhjYmI4NzZmNmI4ZGJhODUwN2MifQ=="/>
  </w:docVars>
  <w:rsids>
    <w:rsidRoot w:val="00000000"/>
    <w:rsid w:val="01527EDF"/>
    <w:rsid w:val="041C009B"/>
    <w:rsid w:val="05BB1B62"/>
    <w:rsid w:val="064D7B32"/>
    <w:rsid w:val="070E6657"/>
    <w:rsid w:val="07487DBA"/>
    <w:rsid w:val="09086C74"/>
    <w:rsid w:val="0CE15D14"/>
    <w:rsid w:val="167819FF"/>
    <w:rsid w:val="17F453F5"/>
    <w:rsid w:val="1BD97FD1"/>
    <w:rsid w:val="1DBF5EA8"/>
    <w:rsid w:val="1E7F5AFC"/>
    <w:rsid w:val="1F503858"/>
    <w:rsid w:val="1F66307C"/>
    <w:rsid w:val="2B8330C6"/>
    <w:rsid w:val="33264BA4"/>
    <w:rsid w:val="3B2D45F6"/>
    <w:rsid w:val="3C8C1F1C"/>
    <w:rsid w:val="40A77E48"/>
    <w:rsid w:val="41D028AB"/>
    <w:rsid w:val="42FC0903"/>
    <w:rsid w:val="48483488"/>
    <w:rsid w:val="4C0B44E0"/>
    <w:rsid w:val="4C5A3F94"/>
    <w:rsid w:val="4C5D5AC9"/>
    <w:rsid w:val="50B45146"/>
    <w:rsid w:val="516F72BF"/>
    <w:rsid w:val="53931B61"/>
    <w:rsid w:val="59D423B5"/>
    <w:rsid w:val="5C4A377B"/>
    <w:rsid w:val="5D2E6280"/>
    <w:rsid w:val="5EDD7E15"/>
    <w:rsid w:val="5F3202A9"/>
    <w:rsid w:val="62A36DC8"/>
    <w:rsid w:val="64561191"/>
    <w:rsid w:val="64C2475F"/>
    <w:rsid w:val="670C0D57"/>
    <w:rsid w:val="673D5A3D"/>
    <w:rsid w:val="67857C88"/>
    <w:rsid w:val="6A4B0471"/>
    <w:rsid w:val="6AD37AF6"/>
    <w:rsid w:val="6E6C6D89"/>
    <w:rsid w:val="712C15E1"/>
    <w:rsid w:val="76522B87"/>
    <w:rsid w:val="77DD6173"/>
    <w:rsid w:val="78407785"/>
    <w:rsid w:val="7C6068BE"/>
    <w:rsid w:val="7EF7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ind w:firstLine="200" w:firstLineChars="200"/>
    </w:pPr>
  </w:style>
  <w:style w:type="paragraph" w:customStyle="1" w:styleId="5">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2263</Words>
  <Characters>2379</Characters>
  <Lines>0</Lines>
  <Paragraphs>0</Paragraphs>
  <TotalTime>11</TotalTime>
  <ScaleCrop>false</ScaleCrop>
  <LinksUpToDate>false</LinksUpToDate>
  <CharactersWithSpaces>2407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2023-05-06T02:26:00Z</dcterms:created>
  <dc:creator>Administrator</dc:creator>
  <cp:lastModifiedBy>Administrator</cp:lastModifiedBy>
  <dcterms:modified xsi:type="dcterms:W3CDTF">2024-10-24T02:15:44Z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050F9AC26BD2490E97C45069D7E5B606_12</vt:lpwstr>
  </property>
</Properties>
</file>